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3.1.prioritātes "Ilgtspējīga TEN-T infrastruktūra”  3.1.1.specifiskā atbalsta mērķa “Attīstīt ilgtspējīgu, pret klimatu izturīgu, inteliģentu, drošu un vairākveidu TEN-T infrastruktūru” 3.1.1.6.pasākuma “Lielo ostu publiskās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 un atbalsta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1.3.apakšpunktu piedāvātajā redakcijā, lai nodrošinātu atbilstību Eiropas Savienības fondu 2021.—2027. gada plānošanas perioda vadības likuma 19. panta 13. punktā ietvertajam deleģējumam, ņemot vērā, ka minētajā deleģējumā nav norādes uz atbalsta veidu, un tas ir viens no vispārīgajiem noteikumu projektā ietveramajiem ar projekta īstenošanu saistītajiem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 un nacionālā līdzfinansējuma likmi;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Piemērojot Regulas (ES) 651/2014 56 b) panta 5.a) punktu, komercdarbības atbalsta intensitāte šo noteikumu 16.1. apakšpunktā norādītās darbības īstenošanai ir līdz 100 procentu apmērā no darbības īstenošanas attiecināmajām izmaksām, vienlaikus ņemot vērā Regulas (ES) 651/2014 56 b) panta 4.punkta nosacījumus. Atbalsta intensitāte atbilst regulas Nr.651/2014 2.panta 26.punktā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28. punktā lietoto atsauci uz norādīto atbalstāmo darbību atbilstoši aktuālajai noteikumu projekta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Atbalstu, ko piešķir šo noteikumu ietvaros, var summēt (kumulēt) ar citu komercdarbības atbalstu un de minimis atbalstu, atbilstoši Komisijas regulas (ES) Nr. 1407/2013 par Līguma par Eiropas Savienības darbību 107. un 108. panta piemērošanu de minimis atbalstam 5. panta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pasākuma ietvaros tiek piešķirts ar Komisijas 2014. gada 17. jūnija Regulu (ES) Nr. 651/2014, ar ko noteiktas atbalsta kategorijas atzīst par saderīgām ar iekšējo tirgu, piemērojot Līguma 107. un 108. pantu (turpmāk – Regula (ES) Nr. 651/2014), un ir nepieciešams skaidrāk noteikt atbalsta kumulācijas nosacījumus, lūdzam noteikumu projekta 31.punktu izteikt, piemēram, tālāk piedāvātajā redakcijā. Papildus vēršam uzmanību, ka atbilstoši Komisijas 2013. gada 18. decembra Regulas (ES) Nr. 1407/2013 par Līguma par Eiropas Savienības darbību 107. un 108. panta piemērošanu de minimis atbalstam 8. pantam un 7. panta 4. punktam iepriekš minētās regulas darbības termiņš ir 30.06.2024. Lūdzam precizēt arī anotācijas 5.4.1. tabulā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ietvaros piešķirto atbalstu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finansējuma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nodrošina projektā plānoto darbu sasaisti, sinerģiju un demarkāciju ar citu atbalsta instrumentu investīcijām. Ja ir sasaiste ar citiem valsts vai ārvalstu atbalsta instrumentiem, finansējuma saņēmējs nodrošina, ka neiestājas dubultfinansējuma risks, kā arī nodrošina, atbilstoši komercdarbības atbalsta regulējumam (ja attiecināms) atbalsta summēšanas (kumulācijas) nosacījumu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dubultā finansējuma neiestāšanās nodrošināma ne tikai attiecībā uz citiem valsts un ārvalstu finanšu atbalsta instrumentiem, bet </w:t>
            </w:r>
            <w:r w:rsidR="00000000" w:rsidRPr="00000000" w:rsidDel="00000000">
              <w:rPr>
                <w:u w:val="single"/>
                <w:rtl w:val="0"/>
              </w:rPr>
              <w:t xml:space="preserve">arī konkrētā projekta īstenošanai piešķirtā finansējuma ietvaros darbības nedrīkst tikt finansētas dubultā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aizstāt noteikumu projekta 40.2. apakšpunktā vārdus "Ja ir sasaiste ar citiem valsts vai ārvalstu atbalsta instrumentiem, finansējuma saņēmējs nodrošina, ka neiestājas dubultfinansējuma risks" ar vārdiem "Finansējuma saņēmējs nodrošina, ka projektā plānotās attiecināmās izmaksas netiek finansētas vai līdzfinansētas, kā arī tās nav plānots finansēt vai līdzfinansēt no citiem valsts un ārvalstu finanšu atbalsta instrumentiem, un dubultā finansējuma neiestāšanos", atbilstoši precizējot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nodrošina projektā plānoto darbu sasaisti, sinerģiju un demarkāciju ar citu atbalsta instrumentu investīcijām. </w:t>
            </w:r>
            <w:r w:rsidR="00000000" w:rsidRPr="00000000" w:rsidDel="00000000">
              <w:rPr>
                <w:u w:val="single"/>
                <w:rtl w:val="0"/>
              </w:rPr>
              <w:t xml:space="preserve">Finansējuma saņēmējs nodrošina, ka projektā plānotās attiecināmās izmaksas netiek finansētas vai līdzfinansētas, kā arī tās nav plānots finansēt vai līdzfinansēt no citiem valsts un ārvalstu finanšu atbalsta instrumentiem, un dubultā finansējuma neiestāšanos</w:t>
            </w:r>
            <w:r w:rsidR="00000000" w:rsidRPr="00000000" w:rsidDel="00000000">
              <w:rPr>
                <w:rtl w:val="0"/>
              </w:rPr>
              <w:t xml:space="preserve">, kā arī nodrošina, atbilstoši komercdarbības atbalsta regulējumam (ja attiecināms) atbalsta summēšanas (kumulācijas) nosacījumu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40.9. nodrošina sasniegto rezultātu ilgtspēju vismaz piecus gadus pēc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MK noteikumu 13.1. apakšpunktā norādītās darbības īstenošanai paredzēts saskaņā ar Regulas (ES) Nr.651/2014 56 b) pantu, lūdzam MK noteikumos iekļaut papildus nosacījumu, ka, ja komercdarbības atbalstu sniedz saskaņā ar regulas Nr. 651/2014 56. b) pantu, sadarbības iestāde nodrošina projekta uzraudzību projekta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Timermane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24-TA-375</w:t>
    </w:r>
    <w:r>
      <w:br/>
    </w:r>
    <w:r w:rsidR="00000000" w:rsidRPr="00000000" w:rsidDel="00000000">
      <w:rPr>
        <w:rtl w:val="0"/>
      </w:rPr>
      <w:t xml:space="preserve">Izdrukāts 02.07.2024.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24-TA-375</w:t>
    </w:r>
    <w:r>
      <w:br/>
    </w:r>
    <w:r w:rsidR="00000000" w:rsidRPr="00000000" w:rsidDel="00000000">
      <w:rPr>
        <w:rtl w:val="0"/>
      </w:rPr>
      <w:t xml:space="preserve">Izdrukāts 02.07.2024.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Atzinumi_24-TA-375.docx</dc:title>
</cp:coreProperties>
</file>

<file path=docProps/custom.xml><?xml version="1.0" encoding="utf-8"?>
<Properties xmlns="http://schemas.openxmlformats.org/officeDocument/2006/custom-properties" xmlns:vt="http://schemas.openxmlformats.org/officeDocument/2006/docPropsVTypes"/>
</file>