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vērš uzmanību uz to, ka  nav skaidri secināmas katra iespējamā scenārija ieviešanas izmaksas un ietekme un tautsaimniecību. Pēc būtības neatbildot uz LPS iepriekš izteiktajiem iebildumiem, nav iespējams sasniegt informatīvā ziņojuma mērķi - proti, noteikt tālāko rīcību aizsargājamo biotopu labvēlīgas aizsardzības stāvokļa nodrošināšanas un tautsaimniecības nozaru attīstības interešu sabalansēšanai.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ņemot vērā Ministru kabineta 18.06.2024.  (prot. Nr. 25 74.§) lēmumu, ka likumprojekta "Par valsts budžetu 2025. gadam un budžeta ietvaru 2025., 2026. un 2027. gadam" sagatavošanā kā vienīgais vidēja termiņa budžeta prioritārais attīstības virziens tiek noteikta valsts drošība, atbilstoši kuram ministrijas var iesniegt priekšlikumus prioritārajiem pasākumiem, secināms, ka taisnīgas kompensāciju izmaksas sistēmas ievzemes īpašniekiem par aprobežojumiem saimnieciskās darbības veikšanai tuvākajā laikā nebūs iespējamas. Šis aspekts informatīvajā ziņojumā nav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27.06.2024.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27.06.2024.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