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Krimināllikuma spēkā stāšanās un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w:t>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w:t>
            </w:r>
            <w:r w:rsidR="00000000" w:rsidRPr="00000000" w:rsidDel="00000000">
              <w:rPr>
                <w:rtl w:val="0"/>
              </w:rPr>
              <w:t xml:space="preserve"> (1) Atbildība par Krimināllikumā XI nodaļā paredzēto noziedzīgo nodarījumu pret dabas vidi, ar kuru radīts būtisks kaitējums, iestājas, ja noziedzīgā nodarījuma rezultātā iestājušās kādas no šā likuma 23. pantā minētajām sekām, vai noziedzīgais nodarījums varēja izraisīt cilvēka nāvi vai smagus miesas bojājumus vai izraisīja vai varēja izraisīt ievērojamu kaitējumu gaisa, augsnes vai ūdens kvalitātei, ievērojamu kaitējumu jūras vides stāvoklim, vai virszemes ūdeņu ekoloģiskajai kvalitātei vai ekoloģiskajai ilgtspējai, vai pazemes ūdensobjektu kvantitatīvajiem rādītājiem vai ievērojamu kaitējumu ekosistēmai, dzīvotnei, dzīvniekiem vai augu sugām.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Novērtējot šā panta pirmajā daļā radīto būtisko kaitējumu, ņem vērā vienu vai vairākus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attiecīgo priekšmetu vai īpatņu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normatīvajos aktos noteiktais slieksnis, vērtība vai cits noteikts lielums;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attiecīgo īpaši aizsargājamo sugu saglabāšanās stāvoklis;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vides atjaunošanas izmaksas, ja šīs izmaksas ir iespējams novērtēt;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rīcība ir saistīta ar videi vai cilvēka veselībai riskantu vai bīstamu darbību, kuras veikšanai ir nepieciešama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materiāls vai viela ir klasificēta kā bīstama vai citādi kaitīga videi vai cilvēka veselībai;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noziedzīgā nodarījuma izraisīta virszemes ūdeņu vai pazemes ūdeņu kvalitātes klases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citi nozīmīgi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panta otrās daļas 7.punkta redakciju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"izraisīta" papildināt ar vārdiem "pastāvīga un neatgriezeniska"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noziedzīgā nodarījuma izraisīta pastāvīga un neatgriezeniska virszemes ūdeņu vai pazemes ūdeņu kvalitātes klases maiņa;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5. punkta pēdējo teikumu "Neatkarīgi no tā, vai persona ir ieguvusi vai nav ieguvusi nepieciešamo atļauju, ja šāda rīcība pēc kompetentās iestādes eksperta vērtējuma ir uzskatāma par tādu, kas radījusi būtisku kaitējumu dabas videi vai cilvēka veselībai, persona ir saucama pie atbildības."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likumprojekta anotācijā aprakstīt arī MK protokollēmuma projekta 4. punktā ministrijām doto uzdevumu, kas paredz līdz 2028. gada 1. janvārim pārskatīt likuma “Par Krimināllikuma spēkā stāšanās un piemērošanas kārtību” 1. pielikumu, lai papildinātu kritērijus, pēc kuriem nosakāms apdraudējums vai ievērojams apdraudējums ar likumu aizsargātajām interesēm meža vides saglabāšanā, kā arī izstrādātu kritērijus ievērojama apjoma noteikšanai Krimināllikuma 109.</w:t>
            </w:r>
            <w:r w:rsidR="00000000" w:rsidRPr="00000000" w:rsidDel="00000000">
              <w:rPr>
                <w:vertAlign w:val="superscript"/>
                <w:rtl w:val="0"/>
              </w:rPr>
              <w:t xml:space="preserve">1</w:t>
            </w:r>
            <w:r w:rsidR="00000000" w:rsidRPr="00000000" w:rsidDel="00000000">
              <w:rPr>
                <w:rtl w:val="0"/>
              </w:rPr>
              <w:t xml:space="preserve"> pantā minētiem produktiem un būtiskā kaitējuma noteikšanai Krimināllikuma 98. un 115.</w:t>
            </w:r>
            <w:r w:rsidR="00000000" w:rsidRPr="00000000" w:rsidDel="00000000">
              <w:rPr>
                <w:vertAlign w:val="superscript"/>
                <w:rtl w:val="0"/>
              </w:rPr>
              <w:t xml:space="preserve">3</w:t>
            </w:r>
            <w:r w:rsidR="00000000" w:rsidRPr="00000000" w:rsidDel="00000000">
              <w:rPr>
                <w:rtl w:val="0"/>
              </w:rPr>
              <w:t xml:space="preserve"> pantā minētajām darbībām lauksaimniecībā.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Lase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25-TA-2351</w:t>
    </w:r>
    <w:r>
      <w:br/>
    </w:r>
    <w:r w:rsidR="00000000" w:rsidRPr="00000000" w:rsidDel="00000000">
      <w:rPr>
        <w:rtl w:val="0"/>
      </w:rPr>
      <w:t xml:space="preserve">Izdrukāts 16.02.2026. 18.45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25-TA-2351</w:t>
    </w:r>
    <w:r>
      <w:br/>
    </w:r>
    <w:r w:rsidR="00000000" w:rsidRPr="00000000" w:rsidDel="00000000">
      <w:rPr>
        <w:rtl w:val="0"/>
      </w:rPr>
      <w:t xml:space="preserve">Izdrukāts 16.02.2026. 18.45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Atzinumi_25-TA-2351.docx</dc:title>
</cp:coreProperties>
</file>

<file path=docProps/custom.xml><?xml version="1.0" encoding="utf-8"?>
<Properties xmlns="http://schemas.openxmlformats.org/officeDocument/2006/custom-properties" xmlns:vt="http://schemas.openxmlformats.org/officeDocument/2006/docPropsVTypes"/>
</file>