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vadībā iesaistītās institūcijas nodrošina šo fondu ieviešanu 2021.–2027.gada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Ekonomikas ministrija – par principu “Energoefektivitāte pirmajā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saskaņošanā nodoto tiesību akta projektu “Grozījumi Energoefektivitātes likumā” (23-TA-936), ar kuru, cita starpā, tiek plānots grozīt Energoefektivitātes likuma 3.</w:t>
            </w:r>
            <w:r w:rsidR="00000000" w:rsidRPr="00000000" w:rsidDel="00000000">
              <w:rPr>
                <w:vertAlign w:val="superscript"/>
                <w:rtl w:val="0"/>
              </w:rPr>
              <w:t xml:space="preserve">1</w:t>
            </w:r>
            <w:r w:rsidR="00000000" w:rsidRPr="00000000" w:rsidDel="00000000">
              <w:rPr>
                <w:rtl w:val="0"/>
              </w:rPr>
              <w:t xml:space="preserve"> pantu, nosakot, ka metodiskos norādījumus principa “energoefektivitāte pirmajā vietā” piemērošanā izstrādā Klimata un enerģētikas ministrija sadarbībā ar Ekonomikas ministriju, aicinām Noteikumu projekta 7.3.apakšpunktu veidot kā norādes tiesību normu. Proti, tiesību normā paredzot, ka par principu “Energoefektivitāte pirmajā vietā” ir atbildīga Energoefektivitātes likumā minētā institūcija, kura izstrādā metodiskos norādījumus principa “energoefektivitāte pirmajā vietā”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komisija pēc projektu iesniegumu iesniegšanas termiņa beigām vērtē projektu iesniegumus saskaņā ar projektu iesniegumu vērtēšanas kritērijiem, ievērojot projektu iesniegumu vērtēšanas kritēriju piemērošanas metodikā noteikto. Ja projektu iesniegumu atlase ir ierobežota, projektu iesniegumu vērtēšanas komisija projekta iesniegumu šajā punktā noteiktajā kārtībā var sākt vērtēt uzreiz pēc tā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plānošanas perioda 1.2.1.3. pasākumam "Uzņēmuma atbalsts dalībai kapitāla tirgos" paredzēta atklāta projektu iesniegumu atlase, kur iesniegtais komersanta projekta pieteikums tiek vērtēts uzreiz pēc tā saņemšanas, lūdzam paredzēt Noteikumos iespēju, ka arī atklātas iesniegumu atlases veidā, projektu iesniegumu vērtēšanas komisija projekta iesniegumu šajā punktā noteiktajā kārtībā var sākt vērtēt uzreiz pēc tā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07.06.2023. 10.28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07.06.2023. 10.28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Atzinumi_22-TA-2143.docx</dc:title>
</cp:coreProperties>
</file>

<file path=docProps/custom.xml><?xml version="1.0" encoding="utf-8"?>
<Properties xmlns="http://schemas.openxmlformats.org/officeDocument/2006/custom-properties" xmlns:vt="http://schemas.openxmlformats.org/officeDocument/2006/docPropsVTypes"/>
</file>