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iesniegumu atlase ir izsludināta un projektu iesniegumu iesniegšana noslēgsies 19. martā, t. i., pirms Ministru kabineta 09.01.2024. noteikumu Nr. 32 grozījumu spēkā stāšanās, lūdzu anotāciju papildināt ar skaidrojumu par grozījumu ietekmi uz projektu iesniegumu atlasi, tostarp, vai plānojams projektu iesniegumu iesniegšanas termiņa pagarinājums (viennozīmīgi būs veicami atlases nolikuma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Atbalstu projekta iesniedzējam nepiešķir Komisijas regulas Nr. 2023/2831 1. panta 1. punktā noteiktajām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1.panta 1.punktā ir noteiktas ne tikai nozares, bet arī darbības, kurām nepiešķir atbalstu saskaņā ar Komisijas regulu Nr.2023/2831, lūdzam precizēt noteikumu 45.punktu,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projekta iesniedzējam nepiešķir Komisijas regulas Nr.2023/2831 1.panta 1.punktā noteiktajām nozarēm un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atbalstāmās darbības un ar to īstenošanu saistītās finanšu plūsmas tiek skaidri nodalītas no citu darbības nozaru darbībām un finanšu plūsmām, nodrošinot, ka darbības neatbalstāmajās nozarēs negūst labumu no komercdarbības atbalsta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noteikumu projekta viennozīmīgi būtu skaidrs atbalsta saņēmēja pienākums nodrošināt atbalstāmo nozaru darbību un finanšu plūsmu nodalīšanu no neatbalstāmajām nozarēm, lūdzam noteikumu 48.punkta ievaddaļu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atbalstu drīkst piešķirt tikai tad, ja tiek skaidri nodalītas darbības un finanšu plūsmas atbalstāmās nozarēs, nodrošinot, ka darbības neatbalstāmajās nozarēs negūst labumu no pasākuma ietvaros piešķirtā atbalsta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13.03.2024.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13.03.2024.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Atzinumi_24-TA-131.docx</dc:title>
</cp:coreProperties>
</file>

<file path=docProps/custom.xml><?xml version="1.0" encoding="utf-8"?>
<Properties xmlns="http://schemas.openxmlformats.org/officeDocument/2006/custom-properties" xmlns:vt="http://schemas.openxmlformats.org/officeDocument/2006/docPropsVTypes"/>
</file>