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veselības datu sekundārās izmantošanas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"Rīgas Austrumu klīniskā universitātes slimnīca"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(2) Elektronisko veselības datu turētājs nodrošina elektronisko veselības datu sekundārai izmantošanai šādas datu kategorijas: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Visas likumprojekta 7. panta 2. daļā norādītās datu kategorijas ārstniecības iestādei var nebūt, piemēram, dati no labjūtes lietojumprogrammām.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likumprojekta 7. panta 2. daļas redakciju, nosakot, ka elektronisko veselības datu turētājs nodrošina elektronisko veselības datu sekundārai izmantošanai šādas datu kategorijas: [..], tikai gadījumā, ja šādas datu kategorijas tam ir pieejamas.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Volkova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(2) Konstatējot elektronisko veselības turētāja darbības neatbilstību šā likuma 7. pantam, Centram ir tiesības uzlikt elektronisko veselības datu turētājam pienākumu novērst neatbilstību.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Likumprojekta 17. panta  2. daļas redakcijā trūkst vārda “datu” -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Likumprojekta 17. panta  2. daļa: Konstatējot elektronisko veselības datu turētāja darbības neatbilstību šā likuma 7. pantam, Centram ir tiesības uzlikt elektronisko veselības datu turētājam pienākumu novērst neatbilstību.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Volkova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21.02.2025.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21.02.2025.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