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Atsevišķu Valsts ieņēmumu dienesta valsts informācijas sistēmu muitas jomā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deklarācijas iesniedzēja, preču nosūtītāja, saņēmēja, pārvadātāja, Komisijas 2015. gada 28. jūlija Deleģētās regulas (ES) 2015/2446, ar ko papildina Eiropas Parlamenta un Padomes Regulu (ES) Nr. 952/2013 attiecībā uz sīki izstrādātiem noteikumiem, kuri attiecas uz dažiem Savienības Muitas kodeksa noteikumiem (turpmāk – regula Nr. 2015/2446), 1. panta 18. punktā paredzētais reģistrācijas un identifikācijas numurs (turpmāk – EORI numurs) un juridiskais statuss, juridiskās personas pilnais un saīsinātais nosaukums, faktiskā adrese, fiziskās personas personas kods, vārds, uzvārds, faktiskā/deklarētā dzīvesvietas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Deleģētās regulas (ES) 2015/2446, ar ko papildina Eiropas Parlamenta un Padomes Regulu (ES) Nr. 952/2013 attiecībā uz sīki izstrādātiem noteikumiem, kuri attiecas uz dažiem Savienības Muitas kodeksa noteikumiem (turpmāk – Regula Nr. 2015/2446) B. pielikuma 2. iedaļas 12. un 13. piezīme nosaka, ka ja ir norādīts EORI numurs vai trešās valsts unikāls identifikācijas numurs, ko atzinusi Savienība, tad vārds, uzvārds/nosaukums un adrese nav jānorāda, arī par faktiskajām/deklerētajām dzīvesvietas adresēm nekas nav minēts. Datu valsts inspekcija (turpmāk - Inspekcija) norāda, ka atbilstoši Eiropas Parlamenta un Padomes Regulas (ES) 2016/679 par fizisko personu aizsardzību attiecībā uz personas datu apstrādi un šādu datu brīvu apriti un ar ko atceļ Direktīvu 95/46/EK (Vispārīgā datu aizsardzības regula) (turpmāk - Datu regula) 5.panta 1.punkta “c” apakšpunktā noteiktajam “datu minimizēšanas" principam tiek apstrādāti tikai tādi personas dati, kuri ir nepieciešami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minēts, ka ievešanas un izvešanas kopsavilkuma deklarācijas (noteikumu projekta </w:t>
            </w:r>
            <w:r w:rsidR="00000000" w:rsidRPr="00000000" w:rsidDel="00000000">
              <w:rPr>
                <w:b w:val="1"/>
                <w:rtl w:val="0"/>
              </w:rPr>
              <w:t xml:space="preserve">2.1</w:t>
            </w:r>
            <w:r w:rsidR="00000000" w:rsidRPr="00000000" w:rsidDel="00000000">
              <w:rPr>
                <w:rtl w:val="0"/>
              </w:rPr>
              <w:t xml:space="preserve">. apakšpunkts), muitas procedūru deklarācijas (noteikumu projekta </w:t>
            </w:r>
            <w:r w:rsidR="00000000" w:rsidRPr="00000000" w:rsidDel="00000000">
              <w:rPr>
                <w:b w:val="1"/>
                <w:rtl w:val="0"/>
              </w:rPr>
              <w:t xml:space="preserve">2.2</w:t>
            </w:r>
            <w:r w:rsidR="00000000" w:rsidRPr="00000000" w:rsidDel="00000000">
              <w:rPr>
                <w:rtl w:val="0"/>
              </w:rPr>
              <w:t xml:space="preserve">. apakšpunkts),  transporta manifesta (noteikumu projekta</w:t>
            </w:r>
            <w:r w:rsidR="00000000" w:rsidRPr="00000000" w:rsidDel="00000000">
              <w:rPr>
                <w:b w:val="1"/>
                <w:rtl w:val="0"/>
              </w:rPr>
              <w:t xml:space="preserve"> 2.3.</w:t>
            </w:r>
            <w:r w:rsidR="00000000" w:rsidRPr="00000000" w:rsidDel="00000000">
              <w:rPr>
                <w:rtl w:val="0"/>
              </w:rPr>
              <w:t xml:space="preserve"> apakšpunkts) un pagaidu uzglabāšanas deklarācijas (noteikumu projekta </w:t>
            </w:r>
            <w:r w:rsidR="00000000" w:rsidRPr="00000000" w:rsidDel="00000000">
              <w:rPr>
                <w:b w:val="1"/>
                <w:rtl w:val="0"/>
              </w:rPr>
              <w:t xml:space="preserve">2.4. </w:t>
            </w:r>
            <w:r w:rsidR="00000000" w:rsidRPr="00000000" w:rsidDel="00000000">
              <w:rPr>
                <w:rtl w:val="0"/>
              </w:rPr>
              <w:t xml:space="preserve">apakšpunkts) datu apjomu nosaka Regula Nr. 2015/2446 2. panta 2. punkts, Inspekcija lūdz precizēt Anotācijā iekļauto tiesisko pamatu personas datu apstrādei iepriekš minētajos Noteikuma projekta apakšpunktos un nepieciešamības gadījumā precizēt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naudas pārvadātāja vārds, uzvārds, dzimums, kontaktinformācija, adrese, dzimšanas datums, dzimšanas vieta, valstspiederība un personu apliecinoša dokumenta numurs, īpašnieka vārds, uzvārds, kontaktinformācija, adrese, dzimšanas datums, dzimšanas vieta, valstspiederība un personu apliecinoša dokumenta numurs, ja īpašnieks ir fiziska persona, vai, ja īpašnieks ir juridiska persona, pilns nosaukums, kontaktinformācija,  adrese, reģistrācijas numurs, reģistra nosaukums un reģistrācijas valsts, un, ja tas ir pieejams, pievienotās vērtības nodokļa (PVN) maksātāja identifikācijas numurs , saņēmēja (ja informācija ir pieejama) vārds, uzvārds, dzimums, kontaktinformācija, adrese, dzimšanas datums, dzimšanas vieta, valstspiederība un personu apliecinoša dokumenta numurs, ja paredzētais saņēmējs ir fiziska persona, vai, ja paredzētais saņēmējs ir juridiska persona, pilns nosaukums, kontaktinformācija, adrese, reģistrācijas numurs, reģistra nosaukums un reģistrācijas valsts, un, ja tas ir pieejams, PVN maksātāja identifikācijas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2.5.1. punkts paredz atbilstoši Anotācijā minētajās Regulas Nr.2018/1672 3. panta 2. punktā un 4. panta 2. punktā noteiktajam datu apstrādes apjomam apstrādās arī tādus personas datus, kā dzimums, lai gan šāda datu apstrāde nav paredzēta minētajā Regulā. Lūgums papildināt anotāciju ar atbilstošu tiesisko pamatu vai atbilstoši Datu regulā 5.panta 1.punkta “c” apakšpunktā noteiktajam “datu minimizēšanas" principam neapstrādāt tādus personas datus,kā dzimums, ja tas nav nepieciešams apstrādes nolūkam.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iestādēm tiešsaistē vai pēc pieprasījuma izsniedz šo noteikumu 1. punktā minētajās informācijas sistēmās uzkrātos, to funkciju izpildes nodrošināšanai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dati šo noteikumu 1. punktā minētajās informācijas sistēmās ir pieejami 60 mēnešus no datu saņemšanas brīža, ja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šo noteikumu 1. punktā minētajās informācijas sistēmās glabāt 60 mēnešus no datu saņemšanas brīža, ja normatīvajos aktos nav noteikts citādi.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Noteikuma projektā noteiktā glabāšanas termiņa nepieciešamību noteikt uz 60 mēnešiem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apstrādi šo noteikumu 1. punktā minētajās informācijas sistēmās auditē. Auditācijas pieraksti ir ierobežotas pieejamības informācija. Auditācijas pierakstus glabā ne  ilgāk kā 72 mēnešus un izmanto informācijas sistēmas uzturēšanai un Valsts ieņēmumu dienesta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šo noteikumu 1. punktā minētajās informācijas sistēmās auditācijas pierakstus glabāt ne  ilgāk kā 72 mēnešus.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personas datus nedrīkst glabāt ilgāk, kā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Noteikuma projektā noteiktā glabāšanas termiņa nepieciešamību noteikt uz 72 mēnešiem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Horizontālās ietekmes 8.1.13. punkts uz datu aizsardzību paredz izvērtēt personas datu apstrādes atbilstību Datu regulai, šobrīd izvērtējumā iekļauti dažādi normatīvie regulējumi, kuri paredz apstrādāt ne tikai personas datus, tādējādi ir apgrūtināti noteikt kāds ir Noteikumu projektā personu datu apstrādes tiesiskais pamats un tajā noteiktais datu apstrādes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lūdz Anotācijas Horizontālās ietekmes 8.1.13. punktā ietvert skaidru tiesisko pamatu, kas attiecas tikai uz personas datiem, lai atbilstoši Datu regulā 5.panta 1.punkta "a" apakšpunktā noteiktajam “likumīguma, godprātības un pārredzamības" principam datu subjektam būtu skaidrs personas datu apstrādes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03.07.2023.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03.07.2023.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Atzinumi_23-TA-564.docx</dc:title>
</cp:coreProperties>
</file>

<file path=docProps/custom.xml><?xml version="1.0" encoding="utf-8"?>
<Properties xmlns="http://schemas.openxmlformats.org/officeDocument/2006/custom-properties" xmlns:vt="http://schemas.openxmlformats.org/officeDocument/2006/docPropsVTypes"/>
</file>