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nozvejas un izkraušanas datus tehnisku iemeslu dēļ nav iespējams ievadīt informācijas sistēmas apakšsistēmā "Elektroniskā zvejas darbību reģistrācijas un ziņošanas sistēma" (turpmāk – zvejas darbību ziņošanas sistēma), zvejas kuģa kapteinis par to paziņo Valsts vides dienestam. Līdz zvejas darbību ziņošanas sistēmas darbības atjaunošanai dati iesniedzami informācijas sistēmas mobilajā lietotnē.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 punktu ar noteikumu projekta 8. punktu attiecībā uz to, kādi tieši dati un kur tieši tie reģistrējami. Papildus aicinām norādīt konkrētu termiņu, kādā attiecīgā informācija paziņojama Valsts vides dienestam,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Trešās valsts zvejas kuģa kapteinis vai tā pārstāvis vismaz trīs darbdienas pirms paredzamā ienākšanas laika Latvijas ostā elektroniski iesniedz Valsts vides dienestā informāciju, kas prasīta Padomes 2008. gada 29. septembra Regulas (EK) Nr.  </w:t>
            </w:r>
            <w:r w:rsidR="00000000" w:rsidRPr="00000000" w:rsidDel="00000000">
              <w:rPr>
                <w:rtl w:val="0"/>
              </w:rPr>
              <w:t xml:space="preserve">1005/2008</w:t>
            </w:r>
            <w:r w:rsidR="00000000" w:rsidRPr="00000000" w:rsidDel="00000000">
              <w:rPr>
                <w:rtl w:val="0"/>
              </w:rPr>
              <w:t xml:space="preserve">, ar ko izveido Savienības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 6. panta 1. punktā atbilstoši Komisijas 2009. gada 22. oktobra Regulas (EK) Nr. </w:t>
            </w:r>
            <w:r w:rsidR="00000000" w:rsidRPr="00000000" w:rsidDel="00000000">
              <w:rPr>
                <w:rtl w:val="0"/>
              </w:rPr>
              <w:t xml:space="preserve">1010/2009</w:t>
            </w:r>
            <w:r w:rsidR="00000000" w:rsidRPr="00000000" w:rsidDel="00000000">
              <w:rPr>
                <w:rtl w:val="0"/>
              </w:rPr>
              <w:t xml:space="preserve">, ar ko paredz sīki izstrādātu kārtību, kādā īstenojama Padomes Regula (EK) Nr. 1005/2008, ar ko izveido Kopienas sistēmu, lai aizkavētu, novērstu un izskaustu nelegālu, nereģistrētu un neregulētu zveju, 2. pantam un II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punktu, iespēju robežās nedublējot Padomes 2008. gada 29. septembra Regulas (EK) Nr.  1005/2008, ar ko izveido Savienības sistēmu, lai aizkavētu, novērstu un izskaustu nelegālu, nereģistrētu un neregulētu zveju, un ar ko groza Regulas (EEK) Nr.  2847/93, (EK) Nr. 1936/2001 un (EK) Nr. 601/2004, un ar ko atceļ Regulas (EK) Nr. 1093/94 un (EK) Nr. 1447/1999, (turpmāk – regula Nr. 1005/2008), 6. panta 1. punktā ietverto regulējumu. Norādām, ka minētās normas tiešai piemērošanai faktiski pietiek ar to, ka nacionālajā tiesību sistēmā ārējā normatīvajā aktā ir noteikts, ka Valsts vides dienests ir kompetentā iestāde minētās regulas normas (un ja attiecināms citu vienību vai regulas kopumā) izpratnē vai ka attiecīgie subjekti iesniedz informāciju Valsts vides dienestā saskaņā ar attiecīgo regulas vienību. Līdzīgi lūdzam precizēt noteikumu projekta 25. un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23. pantā nedublēt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59. panta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Zivju pircēju un zivju svērēju reģistrācija un jūras produktu pirmās pirkšanas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III nodaļā ietverto regulējumu par zivju svērēju reģistrāciju, jo tas neatbilst Zvejniecības likuma 13. panta pirmās daļas 4. un 5. punktā Ministru kabinetam dotajam pilnvarojumam, kā arī regulas Nr. 1224/2009 60. panta 4. punktā paredzētajam, ka reģistrēti pircēji, reģistrēti izsoļu nami un citas struktūras vai personas, kas ir atbildīgas par zvejas produktu pirmo pārdošanu dalībvalstī, ir atbildīgas par svēršanas pareizību, ja vien saskaņā ar 3. punktu svēršana nenotiek uz zvejas kuģa, jo tad par svēršanu ir atbildīgs kapteinis. Vienlaikus vēršam uzmanību uz to, ka minētajā regulā nav paredzēti reģistrēti zivju svērēji.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 apliecinot, ka zivju svērējs nozveju svērs atbilstoši Eiropas Savienības un nacionālo normatīvo aktu prasībām par nozvejas svēršanas nosacījumiem un ka viņš uzņemas atbildību par šo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precīzāk atsaukties uz konkrētu nacionālo normatīvo aktu vai to jomu, ņemot vērā, ka citi nacionālie normatīvie akti par nozvejas svēršanas nosacījumiem pirmšķietami nav atrodami. Kā arī, ņemot vērā, ka atsauces pieļaujams izdarīt vienīgi uz </w:t>
            </w:r>
            <w:r w:rsidR="00000000" w:rsidRPr="00000000" w:rsidDel="00000000">
              <w:rPr>
                <w:u w:val="single"/>
                <w:rtl w:val="0"/>
              </w:rPr>
              <w:t xml:space="preserve">tieši piemērojamiem</w:t>
            </w:r>
            <w:r w:rsidR="00000000" w:rsidRPr="00000000" w:rsidDel="00000000">
              <w:rPr>
                <w:rtl w:val="0"/>
              </w:rPr>
              <w:t xml:space="preserve"> Eiropas Savienības normatīvajiem aktiem (proti, regulām), lūdzam precizēt atsauci uz Eiropas Savienības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zivju pircēja reģistrācijai – ārvalstu nodokļu administrācijas iestādes izsniegtu izziņu par to, ka pretendentam nav nodokļu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15.2. apakšpunktu ar šo noteikumu 19.3. apakšpunktam analogu izņēmumu vai skaidrot noteikumu projekta anotācijā atbilstību diskriminācijas aizlieguma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Zemkopības ministrija izskata iesniegumu un 10 darbdienu laikā pēc tā saņemšanas lemj par pretendenta reģistrāciju vai par reģistrācijas atteikumu.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16., 19., 20. un 21. punktā paredzēt, ka sākotnējo lēmumu pieņem Zemkopības ministrijas amatpersona. Ja tiek paredzēts, ka sākotnējo lēmumu pieņem Zemkopības ministrijas amatpersona, attiecīgi noteikumu projekta 22. punkta otrajā teikumā aicinām paredzēt, ka lēmumu var apstrīdēt Zemkopības ministrijas valsts sekretāram, kura lēmumu pēc tam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Zemkopības ministrija par zivju pircēja vai zivju svērēja reģistrāciju, reģistrācijas apturēšanu, anulēšanu vai par atteikumu reģistrēt zivju pircēju vai zivju svērēju paziņo adresātam </w:t>
            </w:r>
            <w:r w:rsidR="00000000" w:rsidRPr="00000000" w:rsidDel="00000000">
              <w:rPr>
                <w:rtl w:val="0"/>
              </w:rPr>
              <w:t xml:space="preserve">Administratīvā procesa </w:t>
            </w:r>
            <w:r w:rsidR="00000000" w:rsidRPr="00000000" w:rsidDel="00000000">
              <w:rPr>
                <w:rtl w:val="0"/>
              </w:rPr>
              <w:t xml:space="preserve">likumā</w:t>
            </w:r>
            <w:r w:rsidR="00000000" w:rsidRPr="00000000" w:rsidDel="00000000">
              <w:rPr>
                <w:rtl w:val="0"/>
              </w:rPr>
              <w:t xml:space="preserve"> un </w:t>
            </w:r>
            <w:r w:rsidR="00000000" w:rsidRPr="00000000" w:rsidDel="00000000">
              <w:rPr>
                <w:rtl w:val="0"/>
              </w:rPr>
              <w:t xml:space="preserve">Paziņošanas</w:t>
            </w:r>
            <w:r w:rsidR="00000000" w:rsidRPr="00000000" w:rsidDel="00000000">
              <w:rPr>
                <w:rtl w:val="0"/>
              </w:rPr>
              <w:t xml:space="preserve"> likumā</w:t>
            </w:r>
            <w:r w:rsidR="00000000" w:rsidRPr="00000000" w:rsidDel="00000000">
              <w:rPr>
                <w:rtl w:val="0"/>
              </w:rPr>
              <w:t xml:space="preserve"> noteiktajā kārtībā. Adresāts šo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punkta pirmo teikumu, ņemot vērā to, ka tas dublē Administratīvā procesa likuma 70. 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12 stundu laikā ievada informācijas sistēmā datus par darbībām ar zvejas produktiem, tostarp par šķirošanu, partiju pārvietošanu un apvienošanu. Informācijas sistēma automātiski izveido zvejas produktu partijas atbilstoši regulas Nr.  </w:t>
            </w:r>
            <w:r w:rsidR="00000000" w:rsidRPr="00000000" w:rsidDel="00000000">
              <w:rPr>
                <w:rtl w:val="0"/>
              </w:rPr>
              <w:t xml:space="preserve">1224/2009</w:t>
            </w:r>
            <w:r w:rsidR="00000000" w:rsidRPr="00000000" w:rsidDel="00000000">
              <w:rPr>
                <w:rtl w:val="0"/>
              </w:rPr>
              <w:t xml:space="preserve"> 56.a un 58. pantā noteiktajām prasībām un piešķir tām identifikācijas numuru (kvadrātkodu);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norādes uz informācijas sistēmas funkciju vietā (automātiski izveidot zvejas produktu partijas un piešķirt tām identifikācijas numuru) nav jānorāda uz konkrētu tiesību subjekta tiesībām vai pienākumiem, ņemot vērā, ka informācijas sistēma nav tiesību subjekts, līdz ar to praktiski konkrētais funkciju uzskaitījums šobrīd ir deklaratīvs un pirmšķietami būtu svītrojams, attiecīgu skaidrojumu sniedzot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Latvijā izkrautos jūras produktus transportē pirms to pirmās pārdošanas, ievērojot regulas Nr. </w:t>
            </w:r>
            <w:r w:rsidR="00000000" w:rsidRPr="00000000" w:rsidDel="00000000">
              <w:rPr>
                <w:rtl w:val="0"/>
              </w:rPr>
              <w:t xml:space="preserve">1224/2009</w:t>
            </w:r>
            <w:r w:rsidR="00000000" w:rsidRPr="00000000" w:rsidDel="00000000">
              <w:rPr>
                <w:rtl w:val="0"/>
              </w:rPr>
              <w:t xml:space="preserve"> 68. panta un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nosacījumus, transportētājs ievada informācijas sistēmā šo produktu transportēšanas dokumenta datus, kā arī elektroniski tos iesniedz karoga dalībvalsts, tranzīta dalībvalsts (-u) un galamērķa dalībvalsts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nedublēt attiecīgās regulas 68. panta 2. punktā noteikto, bet nodrošināt tās pienācīgu ieviešanu. Vēršam uzmanību, ka konkrētā regulas norma attiecas uz visām dalībvalstu kompetentajām iestādēm, tomēr konkrētās regulas prasību pienācīgai ieviešanai, ievērojot nacionālo jurisdikciju, pirmšķietami būtu pietiekami norādīt tikai gadījumus, kādos datus iesniedz nacionālajai kompetentajai iestādei, attiecīgo iestādi arī norādot.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ostas teritorijā vai jūras produktu kravai ir pievienota izkraušanas deklarācijas kopija vai cits dokuments, kas apliecina transportēto produktu daudzumu, un tajā ir iekļauta visa regulas Nr. </w:t>
            </w:r>
            <w:r w:rsidR="00000000" w:rsidRPr="00000000" w:rsidDel="00000000">
              <w:rPr>
                <w:rtl w:val="0"/>
              </w:rPr>
              <w:t xml:space="preserve">1224/2009</w:t>
            </w:r>
            <w:r w:rsidR="00000000" w:rsidRPr="00000000" w:rsidDel="00000000">
              <w:rPr>
                <w:rtl w:val="0"/>
              </w:rPr>
              <w:t xml:space="preserve"> 68. panta 4. un 5. punktā noteiktā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68. panta 9. punkts paredz, ka: "šā panta 1. punktā minēto </w:t>
            </w:r>
            <w:r w:rsidR="00000000" w:rsidRPr="00000000" w:rsidDel="00000000">
              <w:rPr>
                <w:u w:val="single"/>
                <w:rtl w:val="0"/>
              </w:rPr>
              <w:t xml:space="preserve">transportēšanas dokumentu var aizstāt ar 23. pantā minētās izkraušanas deklarācijas kopiju vai jebkuru līdzvērtīgu dokumentu</w:t>
            </w:r>
            <w:r w:rsidR="00000000" w:rsidRPr="00000000" w:rsidDel="00000000">
              <w:rPr>
                <w:rtl w:val="0"/>
              </w:rPr>
              <w:t xml:space="preserve">, kas attiecas uz transportēto zvejas produktu daudzumiem, ar noteikumu, ka dokumentā, kurš aizstāj transportēšanas dokumentu, ir tā pati informācija, kas paredzēta attiecīgi šā panta 4. vai 5. punktā". Attiecīgi pirmškietami, lai korekti ieviestu minēto izņēmumu, izkraušanas deklarācijas kopiju vai jebkuru līdzvērtīgu dokumentu elektroniski jāiesniedz karoga dalībvalsts, tranzīta dalībvalsts (-u) un galamērķa dalībvalsts kompetentajām iestādēm, kā arī informācijas sistēmā jāievada attiecīgo dokumentu dati, bet nepietiek ar to, ka kravai attiecīgais dokuments ir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izņēmumi minētās regulas 68. panta 1. un 2. punkta piemērošanai ietverti vienīgi 68. panta 6. punktā, tādēļ lūdzam noteikumu projekta anotācijā pamatot noteikumu projekta 33.2. apakšpunkta atbilstību minētajam regulas punktam vai svītrot 33.2.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piemērotu nozvejas sertifikācijas sistēmu jūras produktu importam un eksportam atbilstoši regulas Nr. </w:t>
            </w:r>
            <w:r w:rsidR="00000000" w:rsidRPr="00000000" w:rsidDel="00000000">
              <w:rPr>
                <w:rtl w:val="0"/>
              </w:rPr>
              <w:t xml:space="preserve">1005/2008</w:t>
            </w:r>
            <w:r w:rsidR="00000000" w:rsidRPr="00000000" w:rsidDel="00000000">
              <w:rPr>
                <w:rtl w:val="0"/>
              </w:rPr>
              <w:t xml:space="preserve"> III nodaļā minētajām prasībām, izmanto Eiropas Komisijas nozvejas sertifikācijas pārvaldības sistēmu </w:t>
            </w:r>
            <w:r w:rsidR="00000000" w:rsidRPr="00000000" w:rsidDel="00000000">
              <w:rPr>
                <w:i w:val="1"/>
                <w:rtl w:val="0"/>
              </w:rPr>
              <w:t xml:space="preserve">CATCH</w:t>
            </w:r>
            <w:r w:rsidR="00000000" w:rsidRPr="00000000" w:rsidDel="00000000">
              <w:rPr>
                <w:rtl w:val="0"/>
              </w:rPr>
              <w:t xml:space="preserve"> (turpmāk – </w:t>
            </w:r>
            <w:r w:rsidR="00000000" w:rsidRPr="00000000" w:rsidDel="00000000">
              <w:rPr>
                <w:i w:val="1"/>
                <w:rtl w:val="0"/>
              </w:rPr>
              <w:t xml:space="preserve">CATCH</w:t>
            </w:r>
            <w:r w:rsidR="00000000" w:rsidRPr="00000000" w:rsidDel="00000000">
              <w:rPr>
                <w:rtl w:val="0"/>
              </w:rPr>
              <w:t xml:space="preserve"> sistēma), nodrošinot,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norādot konkrētā pienākuma izmantot Eiropas Komisijas nozvejas sertifikācijas pārvaldības sistēmu CATCH subjektu, tādējādi nodrošinot juridiskās tehnikas prasībām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jūras produktu importētājs iesniedz šo produktu ieguvi apliecinošu nozvejas sertifikātu, bet šo produktu reeksportam no Latvijas – to reeksporta sertifikātu atbilstoši regulas Nr. </w:t>
            </w:r>
            <w:r w:rsidR="00000000" w:rsidRPr="00000000" w:rsidDel="00000000">
              <w:rPr>
                <w:rtl w:val="0"/>
              </w:rPr>
              <w:t xml:space="preserve">1005/2008</w:t>
            </w:r>
            <w:r w:rsidR="00000000" w:rsidRPr="00000000" w:rsidDel="00000000">
              <w:rPr>
                <w:rtl w:val="0"/>
              </w:rPr>
              <w:t xml:space="preserve"> 12., 14., 16., 21. pantam un II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35.2. apakšpunktu, nedublējot attiecīgās regulas 16. panta 1.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Valsts vides dienesta pieprasījuma Valsts ieņēmumu dienests un Pārtikas un veterinārais dienests atbilstoši savai kompetencei iesaistās regulas Nr. </w:t>
            </w:r>
            <w:r w:rsidR="00000000" w:rsidRPr="00000000" w:rsidDel="00000000">
              <w:rPr>
                <w:rtl w:val="0"/>
              </w:rPr>
              <w:t xml:space="preserve">1005/2008</w:t>
            </w:r>
            <w:r w:rsidR="00000000" w:rsidRPr="00000000" w:rsidDel="00000000">
              <w:rPr>
                <w:rtl w:val="0"/>
              </w:rPr>
              <w:t xml:space="preserve"> 17. pantā minētajās verifikācijas procedūrās.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vai tā anotācijā skaidrot, kā izpaužas iesaiste verifikācijas procedūrās. Norādām, ka atbilstoši regulai jāizraugās kompetentās iestādes minētajai verifikācijai, savukārt no noteikumu projekta neizriet, vai kompetentā iestāde ir vienīgi Valsts vides dienests un vai ar iesaisti saprotama sadarbība, kas jau tāpat izriet no Valsts pārvaldes iekārtas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Jūras produktu eksportētājs, atkāpjoties no šo noteikumu </w:t>
            </w:r>
            <w:r w:rsidR="00000000" w:rsidRPr="00000000" w:rsidDel="00000000">
              <w:rPr>
                <w:rtl w:val="0"/>
              </w:rPr>
              <w:t xml:space="preserve">35.</w:t>
            </w:r>
            <w:r w:rsidR="00000000" w:rsidRPr="00000000" w:rsidDel="00000000">
              <w:rPr>
                <w:rtl w:val="0"/>
              </w:rPr>
              <w:t xml:space="preserve"> punktā norādītajām </w:t>
            </w:r>
            <w:r w:rsidR="00000000" w:rsidRPr="00000000" w:rsidDel="00000000">
              <w:rPr>
                <w:i w:val="1"/>
                <w:rtl w:val="0"/>
              </w:rPr>
              <w:t xml:space="preserve">CATCH</w:t>
            </w:r>
            <w:r w:rsidR="00000000" w:rsidRPr="00000000" w:rsidDel="00000000">
              <w:rPr>
                <w:rtl w:val="0"/>
              </w:rPr>
              <w:t xml:space="preserve"> sistēmā paredzētajām darbībām, var iesniegt eksportam nepieciešamo nozvejas sertifikātu informācijas sistēmā, ja eksports ir paredzēts uz valstīm, kas nav iekļautas to Eiropas Komisijas trešo valstu sarakstā, kuras atbilstoši regulas Nr. </w:t>
            </w:r>
            <w:r w:rsidR="00000000" w:rsidRPr="00000000" w:rsidDel="00000000">
              <w:rPr>
                <w:rtl w:val="0"/>
              </w:rPr>
              <w:t xml:space="preserve">1005/2008</w:t>
            </w:r>
            <w:r w:rsidR="00000000" w:rsidRPr="00000000" w:rsidDel="00000000">
              <w:rPr>
                <w:rtl w:val="0"/>
              </w:rPr>
              <w:t xml:space="preserve"> 15. pantam pieprasa nozvejas sertifikātu jūras produktu eksportam, ja vien minētās valstis nav paziņojušas par citu jūras produktu eksporta procedūras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attiecīgo Eiropas Komisijas trešo valstu saraksta pieejamību un attiecīgā dokumenta, kur saraksts ietverts, saistošo spēku jūras produktu eksportētājiem, nepieciešamības gadījumā papildinot noteikumu projektu ar atsauci uz attiecīgo tieši piemērojamo Eiropas Savienības normatīvo aktu (regulu), kurā saraksts ir pieejams, vai svītrojot atsauci uz minēto sarakstu un to pārņemot noteikumu projektā. Alternatīvi lūdzam izvērtēt iespēju nepieciešamības gadījumā minēto sarakstu publicēt oficiālajā izdevumā "Latvijas Vēstnesis", attiecīgā gadījumā atbilstoši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sniegt skaidrojumu, kā (arī - kam) tiek paziņota jūras produktu eksporta procedūras kārtība un kā to paredzēts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izpildītu prasības no Eiropas Parlamenta un Padomes 2023. gada 13. decembra Regulas (ES) </w:t>
            </w:r>
            <w:r w:rsidR="00000000" w:rsidRPr="00000000" w:rsidDel="00000000">
              <w:rPr>
                <w:rtl w:val="0"/>
              </w:rPr>
              <w:t xml:space="preserve">2023/2833</w:t>
            </w:r>
            <w:r w:rsidR="00000000" w:rsidRPr="00000000" w:rsidDel="00000000">
              <w:rPr>
                <w:rtl w:val="0"/>
              </w:rPr>
              <w:t xml:space="preserve">, ar ko izveido zilās tunzivs (</w:t>
            </w:r>
            <w:r w:rsidR="00000000" w:rsidRPr="00000000" w:rsidDel="00000000">
              <w:rPr>
                <w:i w:val="1"/>
                <w:rtl w:val="0"/>
              </w:rPr>
              <w:t xml:space="preserve">Thunnus thynnus</w:t>
            </w:r>
            <w:r w:rsidR="00000000" w:rsidRPr="00000000" w:rsidDel="00000000">
              <w:rPr>
                <w:rtl w:val="0"/>
              </w:rPr>
              <w:t xml:space="preserve">) nozvejas dokumentēšanas programmu un atceļ Regulu (ES) Nr. 640/2010, izmantojot Starptautiskās Atlantijas tunzivju saglabāšanas komisijas (</w:t>
            </w:r>
            <w:r w:rsidR="00000000" w:rsidRPr="00000000" w:rsidDel="00000000">
              <w:rPr>
                <w:i w:val="1"/>
                <w:rtl w:val="0"/>
              </w:rPr>
              <w:t xml:space="preserve">ICCAT</w:t>
            </w:r>
            <w:r w:rsidR="00000000" w:rsidRPr="00000000" w:rsidDel="00000000">
              <w:rPr>
                <w:rtl w:val="0"/>
              </w:rPr>
              <w:t xml:space="preserve">) zilo tunzivju nozvejas dokumentēšanas elektronisko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42. punkta ievaddaļu, kas šobrīd formulēta deklaratīvi. Vēršam uzmanību, ka mērķis izpildīt regulas prasības jau ir skaidrots noteikumu projekta anotācijā. Tā vietā ierosinām atsauci uz regulu noformulēt mērķtiecīgi, piemēram, norādot, ka Zemkopības ministrija konkrētas darbības veic saskaņā ar konkrētām (ja attiecināms) regulas vienībām. Līdzīgi lūdzam izvērtēt un precizēt noteikumu projekta 43. un 50.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sankciju piemērošanu , ja netiek ievēroti regulas </w:t>
            </w:r>
            <w:r w:rsidR="00000000" w:rsidRPr="00000000" w:rsidDel="00000000">
              <w:rPr>
                <w:rtl w:val="0"/>
              </w:rPr>
              <w:t xml:space="preserve">2024/1474</w:t>
            </w:r>
            <w:r w:rsidR="00000000" w:rsidRPr="00000000" w:rsidDel="00000000">
              <w:rPr>
                <w:rtl w:val="0"/>
              </w:rPr>
              <w:t xml:space="preserve"> II un IV nodaļas nosacījumi, šādu gadījumu uzskaiti un regulāru ziņošanu Zemkopības ministrijai par piemērotajām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skaidrot, kādas tieši sankcijas tiek piemērotas, nepieciešamības gadījumā noteikumu projektā izdarot atsauci uz konkrētām Zvejniecības likuma vienībām, kas šīs sankcijas paredz, ņemot vērā, ka no attiecīgās regulas 11. panta 2. punkta otrās daļas izriet, ka sankcijas jānosaka nacionālajā normatīvajā aktā. Ja ar sankcijām saprotami administratīvie sodi, lūdzam noteikumu projekta 50.5. apakšpunktā nedublēt attiecīgās Zvejniecības likuma normas attiecībā uz kompetenci administratīvo pārkāpumu procesā, attiecīgi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Operatori šo noteikumu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46.1.</w:t>
            </w:r>
            <w:r w:rsidR="00000000" w:rsidRPr="00000000" w:rsidDel="00000000">
              <w:rPr>
                <w:rtl w:val="0"/>
              </w:rPr>
              <w:t xml:space="preserve"> apakšpunktā minētās zvejas produktu izsekojamības prasības par akvakultūras produktiem un importa produktiem līdz atbilstošā informācijas sistēmas tehniskā risinājuma izstrādei, bet ne vēlāk kā līdz 2026. gada 31. decembrim izpilda, izmantojot savā rīcībā esošās sistēmas un procedūras, tostarp ar pavadzīmēm un citiem iepirkumu apliecinošiem dokumentiem. Regulas </w:t>
            </w:r>
            <w:r w:rsidR="00000000" w:rsidRPr="00000000" w:rsidDel="00000000">
              <w:rPr>
                <w:rtl w:val="0"/>
              </w:rPr>
              <w:t xml:space="preserve">1224/2009</w:t>
            </w:r>
            <w:r w:rsidR="00000000" w:rsidRPr="00000000" w:rsidDel="00000000">
              <w:rPr>
                <w:rtl w:val="0"/>
              </w:rPr>
              <w:t xml:space="preserve"> 58. panta 6. punkta prasības šajā periodā operatori izpilda, izmantojot elektroniskos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46.1. apakšpunktā tiešā veidā minētas prasības iestādei, nevis operatoriem, tādēļ ierosinām attiecīgās atsauces uz minēto apakšpunktu vietā atsaukties uz noteikumu projekta normu, kas paredz prasību informācijas sistēmā reģistrēt zvejas produktu partijas datus vai šo produktu izsekojamības dokumentus. Nepieciešamības gadījumā aicinām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plāna 2. un 3. punktu, kas ir deklaratīvi. Nepieciešamības gadījumā lūdzam sniegt attiecīgus skaidrojumus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plāna 9. un 10. punktu, neskaidrojot noteikumu projektā pamatojumu konkrētajām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regulas Nr. 1224/2009 17. panta 1.a punkts, 19.a panta 2. punkts, 29. panta 3. punkts, 35. panta 2. punkts, 39. panta 2.a un 3. punkts, 55. panta 1. punkta trešā daļa,  58. panta 8. punkts, 60. panta 3. (ja attiecināms), 8. un 9. punkts, 68. panta 8. un 9. punkts, 73. panta 8. punkts, regulas Nr.  1005/2008 14. panta 2. punkta otrā daļa, 17. panta 3. un 5. punkts paredz dalībvalstu rīcības brīvību, kuras izmantošanu vai neizmantošanu, kā arī attiecīgus apsvērumus lūdzam sniegt noteikumu 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regulas Nr. 1224/2009 68. panta 6. punktā paredzēto rīcības brīvību noteikumu projekta anotācijā skaidrots, ka noteikumu projektā paredzēts attiecināt izņēmumu uz minētās regulas 68. panta 1. punktu, tomēr faktiski rīcības brīvība tiek īstenota attiecībā uz izņēmumu no 68. panta 2. punkta, kas šobrīd ieviests noteikumu projekta 32. punktā, tādēļ lūdzam izvērtēt un sniegt skaidrojumu par minēto vai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anotācijas 5.4. apakšsadaļas 1. tabulā skaidrot arī to, kā ieviests regulas Nr. 1224/2009 60. panta 6. punkts, 89. un 89.a pants, regulas Nr. 1005/2008 15. panta 2. punkts un 16. pants (attiecībā uz kompetentās iestādes noteikšanu), kā arī Komisijas 2024. gada 27.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11. panta 2. punkta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Svēršanas operators jūras produktus sver ar svēršanas sistēmām (tostarp svariem), kas verificēti normatīvajos aktos par valsts metroloģiskajai kontrolei pakļautiem mērīšanas līdzekļiem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precīzāk norādīt attiecīgo normatīvo aktu jomu noteikumu projekta 7. punktā un abos pielikumos, jo šobrīd norāde varētu tikt attiecināta uz vairākiem Ministru kabineta noteikumiem, tostarp, piemēram, Ministru kabineta 2024. gada 14. maija noteikumi Nr. 289 "Noteikumi par valsts metroloģiskajai kontrolei pakļauto mērīšanas līdzekļu sarakstu" jau šobrīd izsmeļoši nosaka mērīšanas līdzekļu sarakstu, līdz ar to nav viennozīmīgi skaidrs, vai ar noteikumu projekta 7. punktu tiek noteikts pienākums piemērot minētos normatīvos aktus, kas citādi nebūtu attiecināmi uz svēršanas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 par izkrautās nozvejas svēršanu reģistrējami zvejas produktu svēršanas datu reģistrā (turpmāk – svēršanas reģistrs) elektroniski informācijas sistēmā vai svēršanas operatora uzturētajā svēršanas reģistrā papīra vai elektroniskā formā.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tehniski precizēt norādi ("elektroniski informācijas sistēmā"), jo šobrīd no norādes neizriet, vai elektroniski informācijas sistēmā reģistrācija ir kā alternatīva reģistrācijai zvejas produktu svēršanas datu reģistrā, kā arī vai reģistrācija vienīgi zvejas produktu svēršanas datu reģistrā ir elektroniska.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Svēršanas operators izkrautos jūras produktus sver pirms to uzglabāšanas, transportēšanas vai pirmās pirkšanas darījuma, ievērojot regulas Nr.  </w:t>
            </w:r>
            <w:r w:rsidR="00000000" w:rsidRPr="00000000" w:rsidDel="00000000">
              <w:rPr>
                <w:rtl w:val="0"/>
              </w:rPr>
              <w:t xml:space="preserve">1224/2009</w:t>
            </w:r>
            <w:r w:rsidR="00000000" w:rsidRPr="00000000" w:rsidDel="00000000">
              <w:rPr>
                <w:rtl w:val="0"/>
              </w:rPr>
              <w:t xml:space="preserve"> 60. pantā noteiktās prasības atbilstoši izkrauto jūras produktu paraugu ņemšanas plānam (</w:t>
            </w:r>
            <w:r w:rsidR="00000000" w:rsidRPr="00000000" w:rsidDel="00000000">
              <w:rPr>
                <w:rtl w:val="0"/>
              </w:rPr>
              <w:t xml:space="preserve">1.</w:t>
            </w:r>
            <w:r w:rsidR="00000000" w:rsidRPr="00000000" w:rsidDel="00000000">
              <w:rPr>
                <w:rtl w:val="0"/>
              </w:rPr>
              <w:t xml:space="preserve"> pielikums) vai kontroles plānam, ko piemēro Latvijas piekrastes ūdeņos ar reņģu, salaku un apaļo jūrasgrunduļu zvejas rīkiem iegūto nozveju svēršanai pēc jūras produktu transportēšanas no izkraušanas vietas (</w:t>
            </w:r>
            <w:r w:rsidR="00000000" w:rsidRPr="00000000" w:rsidDel="00000000">
              <w:rPr>
                <w:rtl w:val="0"/>
              </w:rPr>
              <w:t xml:space="preserve">2.</w:t>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1. pielikumu, kura nosaukumā norādīts, nevis </w:t>
            </w:r>
            <w:r w:rsidR="00000000" w:rsidRPr="00000000" w:rsidDel="00000000">
              <w:rPr>
                <w:u w:val="single"/>
                <w:rtl w:val="0"/>
              </w:rPr>
              <w:t xml:space="preserve">jūras produktu</w:t>
            </w:r>
            <w:r w:rsidR="00000000" w:rsidRPr="00000000" w:rsidDel="00000000">
              <w:rPr>
                <w:rtl w:val="0"/>
              </w:rPr>
              <w:t xml:space="preserve"> paraugu ņemšanas plāns, bet gan "Izkrauto </w:t>
            </w:r>
            <w:r w:rsidR="00000000" w:rsidRPr="00000000" w:rsidDel="00000000">
              <w:rPr>
                <w:u w:val="single"/>
                <w:rtl w:val="0"/>
              </w:rPr>
              <w:t xml:space="preserve">zvejas produktu</w:t>
            </w:r>
            <w:r w:rsidR="00000000" w:rsidRPr="00000000" w:rsidDel="00000000">
              <w:rPr>
                <w:rtl w:val="0"/>
              </w:rPr>
              <w:t xml:space="preserve"> paraugu ņemšanas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vai nav jāprecizē arī 2. pielikums, kura nosaukumā nav tieši norādīts uz jūras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 apliecinot, ka zivju svērējs nozveju svērs atbilstoši Eiropas Savienības un nacionālo normatīvo aktu prasībām par nozvejas svēršanas nosacījumiem un ka viņš uzņemas atbildību par šo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norādes "apliecinot, ka zivju svērējs nozveju svērs atbilstoši Eiropas Savienības un nacionālo normatīvo aktu prasībām par nozvejas svēršanas nosacījumiem un ka viņš uzņemas atbildību par šo prasību ievērošanu un ka viņš uzņemas atbildību par šo prasību ievērošanu" nepieciešamību un svītrot to. Vēršam uzmanību, ja pienākums nozveju svērt atbilstoši attiecīgajiem nosacījumiem izriet jau no citiem ārējiem normatīvajiem aktiem, tad secināms, ka attiecīgais pienākums apliecināt normatīvo aktu nosacījumu ievērošanu un ar to saistīto atbildības uzņemšanos varētu būt lieks, ja reģistrācija šo tiesību aktu pārkāpumu gadījumā jebkurā gadījumā tiek apturēta (anulēta).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izdarīts regulas Nr. </w:t>
            </w:r>
            <w:r w:rsidR="00000000" w:rsidRPr="00000000" w:rsidDel="00000000">
              <w:rPr>
                <w:rtl w:val="0"/>
              </w:rPr>
              <w:t xml:space="preserve">1224/2009</w:t>
            </w:r>
            <w:r w:rsidR="00000000" w:rsidRPr="00000000" w:rsidDel="00000000">
              <w:rPr>
                <w:rtl w:val="0"/>
              </w:rPr>
              <w:t xml:space="preserve"> 90. panta 2. punkta "j" un "n" apakšpunktā minētais smags pārkāpums vai īstenotas par smagu pārkāpumu uzskatāmas darbības, ievērojot regulas Nr. </w:t>
            </w:r>
            <w:r w:rsidR="00000000" w:rsidRPr="00000000" w:rsidDel="00000000">
              <w:rPr>
                <w:rtl w:val="0"/>
              </w:rPr>
              <w:t xml:space="preserve">1224/2009</w:t>
            </w:r>
            <w:r w:rsidR="00000000" w:rsidRPr="00000000" w:rsidDel="00000000">
              <w:rPr>
                <w:rtl w:val="0"/>
              </w:rPr>
              <w:t xml:space="preserve"> 90. panta 3. punkta "a", "b", "h" un "m"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norādi "ievērojot regulas Nr. 1224/2009 90. panta 3. punkta "a", "b", "h" un "m" apakšpunktā noteikto". Vēršam uzmanību, ka minētās regulas vienības paredz pārkāpumus, ko uzskata par smagu pārkāpumu, proti, darbības, par kurām </w:t>
            </w:r>
            <w:r w:rsidR="00000000" w:rsidRPr="00000000" w:rsidDel="00000000">
              <w:rPr>
                <w:u w:val="single"/>
                <w:rtl w:val="0"/>
              </w:rPr>
              <w:t xml:space="preserve">attiecīgās dalībvalsts kompetentā iestāde nosaka, ka attiecībā uz tām ir izpildīts vismaz viens no IV pielikumā definētajiem kritērijiem</w:t>
            </w:r>
            <w:r w:rsidR="00000000" w:rsidRPr="00000000" w:rsidDel="00000000">
              <w:rPr>
                <w:rtl w:val="0"/>
              </w:rPr>
              <w:t xml:space="preserve">. Attiecīgi pirmšķietami nepieciešams noteikumu projektā (ārējā normatīvajā aktā) norādīt konkrētas darbības, attiecībā uz kurām izpildīts vismaz viens no minētajā pielikumā definētajiem kritērijiem, bet pirmšķietami nav pieļaujams vienīgi atsaukties uz iepriekš norādītajiem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laikā biežāk nekā trīs reizes ir pārkāptas regulas Nr.  </w:t>
            </w:r>
            <w:r w:rsidR="00000000" w:rsidRPr="00000000" w:rsidDel="00000000">
              <w:rPr>
                <w:rtl w:val="0"/>
              </w:rPr>
              <w:t xml:space="preserve">1224/2009</w:t>
            </w:r>
            <w:r w:rsidR="00000000" w:rsidRPr="00000000" w:rsidDel="00000000">
              <w:rPr>
                <w:rtl w:val="0"/>
              </w:rPr>
              <w:t xml:space="preserve">  57. panta 2. punktā, 58. panta 1., 2., 3., 5. un 6. punktā, 59. panta 2. punktā, 60. panta 1., 2., 3., 4. un 5. punktā, 62. panta 1. punktā vai 64.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59. panta 2. punktā iekļautas divas prasības, tādēļ aicinām izvērtēt, vai pārkāpums attiecas uz abām no šīm prasībām vai vienu no viņām, nepieciešamības gadījumā konkretizējot atsauci. Līdzīgi lūdzam izvērtējumu veikt attiecībā uz 60. panta 1. punktu, jo īpaši ņemot vērā arī to, ka 60. panta 1. punkta pirmajā daļā paredzēts dalībvalstu pienākums nodrošināt noteiktas darbības, attiecīgi nepieciešams izvērtēt, vai 60. panta 1. punkta vietā atsauce nebūtu izdarāma atsauce uz noteikumu projekta (nacionālā normatīvā akta vienībām), kas paredz pasākumus 60. panta 1. punktā paredzētā dalībvalstu pienākuma izpildei. Visbeidzot, aicinām izvērtēt, vai noteikumu projekta 20.2. apakšpunktā nav norādāms arī uz attiecīgās regulas 62. panta 4. punktu, kas pirmšķietami satur analoģisku pienākumu 1. punktā minētajam. Alternatīvi lūdzam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Šajā nodaļā minētās prasības neattiecina uz zvejas produktiem, kurus tieši no zvejas kuģa vai operators, kas zvejo bez kuģa, vai akvakultūras ražošanas vienības operators pārdod galapatērētājiem izmantošanai tikai privātam patēriņam, ja šo produktu daudzumam vienam galapatērētājam dienā nepārsniedzot 10 kilogramu vai attiecībā uz Baltijas jūrā nozvejotiem lašiem – divus īpatņus. Galapatērētājiem šādā veidā konkrētajā dienā pārdotais kopējais zvejas produktu daudzums 12 stundu laikā pēc dienas beigām ievadāms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konkretizēt, kas domāts ar norādi "pēc dienas beigām" (piemēram, darbadienas beigām vai attiecīgās kalendārās dienas beigām, t.i., līdz nākamās dienas plkst. 12.00.).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reģistrējas Zemkopības ministrijas informācijas sistēmā atbilstoši šo noteikumu </w:t>
            </w:r>
            <w:r w:rsidR="00000000" w:rsidRPr="00000000" w:rsidDel="00000000">
              <w:rPr>
                <w:rtl w:val="0"/>
              </w:rPr>
              <w:t xml:space="preserve">14.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"Zemkopības ministrijas", ņemot vērā iepriekš atrunāto saīsinājumu. Ja nepieciešams, lūdzam noteikumu projektā norādīt informācijas sistēmas pārzini, ja tas nav noregulēts jau citā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Pamatojoties uz regulas </w:t>
            </w:r>
            <w:r w:rsidR="00000000" w:rsidRPr="00000000" w:rsidDel="00000000">
              <w:rPr>
                <w:rtl w:val="0"/>
              </w:rPr>
              <w:t xml:space="preserve">2024/1474</w:t>
            </w:r>
            <w:r w:rsidR="00000000" w:rsidRPr="00000000" w:rsidDel="00000000">
              <w:rPr>
                <w:rtl w:val="0"/>
              </w:rPr>
              <w:t xml:space="preserve"> 11. panta 2. punktu, zvejas kuģa kapteinis pieļaujamās pielaides atkāpi apstiprināto ostu sarakstā iekļautajā Latvijas ostā ir tiesīgs izmantot tikai tad, ja zvejas kuģis ir minēts šo noteikumu </w:t>
            </w:r>
            <w:r w:rsidR="00000000" w:rsidRPr="00000000" w:rsidDel="00000000">
              <w:rPr>
                <w:rtl w:val="0"/>
              </w:rPr>
              <w:t xml:space="preserve">48.5.</w:t>
            </w:r>
            <w:r w:rsidR="00000000" w:rsidRPr="00000000" w:rsidDel="00000000">
              <w:rPr>
                <w:rtl w:val="0"/>
              </w:rPr>
              <w:t xml:space="preserve"> apakšpunktā noteiktajā zvejas kuģu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attiecīgajā regulas vienībā norādīts, ka: "atkāpi izmanto tikai tie zvejas kuģi, kas ir iekļauti [regulas 11. panta] 1. punktā minētajā sarakstā </w:t>
            </w:r>
            <w:r w:rsidR="00000000" w:rsidRPr="00000000" w:rsidDel="00000000">
              <w:rPr>
                <w:u w:val="single"/>
                <w:rtl w:val="0"/>
              </w:rPr>
              <w:t xml:space="preserve">un ir izpildījuši šīs nodaļas nosacījumus</w:t>
            </w:r>
            <w:r w:rsidR="00000000" w:rsidRPr="00000000" w:rsidDel="00000000">
              <w:rPr>
                <w:rtl w:val="0"/>
              </w:rPr>
              <w:t xml:space="preserve">", attiecīgi aicinām izvērtēt un nepieciešamības gadījumā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norādīt konkrētu normatīvo aktu jomu ("Latvijas Republikas normatīvajos aktos noteiktajā kārtībā verificētiem svariem").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"atbilstoši šim plānam",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2023. gada 27. jūlija Īstenošanas lēmuma C(2023) 4925, ar ko apstiprina paraugu ņemšanas plānu un kontroles plānu, kurus Latvija saskaņā ar Regulu (EK) Nr. 1224/2009 iesniegusi attiecībā uz zvejas produktu svēršanu, un groza Īstenošanas lēmumu C(2020) 2944, 3. punktā norādīts uz 30 kg, nevis 10 kg, tādēļ aicinām noteikumu projekta anotācijā pamatot atbilstību minētajam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tādus jautājumus kā izņēmumus no plāna piemērošanas un līdzīgus ar plāna piemērošanu saistītus jautājumus noregulēt noteikumu projekta pamattekstā, nevis 1. un 2. pielikumā. Vēršam uzmanību,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1224/2009 61. pants ir svītrots ar Eiropas Parlamenta un Padomes 2023. gada 22. novembra Regulu (ES) 2023/2842, ar ko groza Padomes Regulu (EK) Nr. 1224/2009 un attiecībā uz zivsaimniecības kontroli groza Padomes Regulas (EK) Nr. 1967/2006 un (EK) Nr. 1005/2008 un Eiropas Parlamenta un Padomes Regulas (ES) 2016/1139, (ES) 2017/2403 un (ES) 2019/473, tādēļ lūdzam izvērtēt un nepieciešamības gadījumā atbilstoši precizēt noteikumu projekta 2. pielikumu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23.04.2026.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23.04.2026.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Atzinumi_25-TA-2770.docx</dc:title>
</cp:coreProperties>
</file>

<file path=docProps/custom.xml><?xml version="1.0" encoding="utf-8"?>
<Properties xmlns="http://schemas.openxmlformats.org/officeDocument/2006/custom-properties" xmlns:vt="http://schemas.openxmlformats.org/officeDocument/2006/docPropsVTypes"/>
</file>