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tiesībaizsardzības iestāžu amatpersonu izglītības sistēmas reformas ieviešanas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uz sākotnēji iesniegto informatīvā ziņojuma projektu izteicām iebildumu, ka grozījumus normatīvajos aktos var izstrādāt un virzīt tos izskatīšanai Ministru kabinetā, ja to īstenošanai ir nodrošināts nepieciešamais finansējums, un izziņā ir norādīts, ka izteiktais iebildums ir ņemts vērā, lūdzam papildināt informatīvā ziņojuma 3. daļas 3.1. sadaļas 8.punktu, un arī pie grozījumiem Augstskolu likumā un Ministru kabineta 2007.gada 23.janvāra noteikumos Nr.70 “Studiju līgumā obligāti ietveramie noteikumi” norādīt, ka tiesību aktu īstenošanai papildus valsts budžeta finansējums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10.05.2023.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10.05.2023.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Atzinumi_23-TA-652.docx</dc:title>
</cp:coreProperties>
</file>

<file path=docProps/custom.xml><?xml version="1.0" encoding="utf-8"?>
<Properties xmlns="http://schemas.openxmlformats.org/officeDocument/2006/custom-properties" xmlns:vt="http://schemas.openxmlformats.org/officeDocument/2006/docPropsVTypes"/>
</file>