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Ministrija sadarbībā ar Ekonomikas ministriju līdz 1. novembrim nosaka nozaru studiju programmu prioritātes atbilstoši ekonomikas un darba tirgus situācijai, iesniedzot aģentūrai prioritāri atbalstāmo 10 studiju programmu sarakstu turpmākajiem trim akadēmiskajiem gadiem saskaņā ar Latvijas izglītības klasifikāciju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cilvēkkapitāla pietiekamības izaicinājumus eksportorientētajās un augstas pievienotās vērtības tautsaimniecības nozarēs, lūdzam papildināt tiesību akta anotāciju, ka Ekonomikas ministrija pirms nozaru studiju programmu prioritāšu noteikšanas veic nozaru darba devēju viedokļu izvērtēšanu, piemēram, tieši konsultējoties ar darba devēju organizācijām vai izvērtējot piedāvāto prioritāro studiju programmu sarakstu Cilvēkkapitāla attīstības padomē. Tādējādi, nepieciešamības gadījumā, iespējams aktualizēt tās tautsaimniecību nozaru vajadzības, kuras rodas inovatīvu produktu attīstības ietvarā vai jaunu nozaru attīstības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22.12.2025. 21.24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22.12.2025. 21.24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Atzinumi_25-TA-1001.docx</dc:title>
</cp:coreProperties>
</file>

<file path=docProps/custom.xml><?xml version="1.0" encoding="utf-8"?>
<Properties xmlns="http://schemas.openxmlformats.org/officeDocument/2006/custom-properties" xmlns:vt="http://schemas.openxmlformats.org/officeDocument/2006/docPropsVTypes"/>
</file>