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24-TA-438: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Grāmatvedības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sadaļas noslēgumu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dokumentu (rēķinu) apritē plaši tiek izmantoti e-pasti. E-pasta adresāta un rēķinu satura viltošana ir realitāte, ar ko sabiedrība saskaras. Attiecībā uz e-pastā saņemtiem rēķiniem, uzņēmējiem patstāvīgi jāpārliecināties par sūtītāju un e-rēķinu īstumu. Piekļuvei e-pastiem netiek izmantoti kvalificēti elektroniskās identifikācijas līdzekļi, līdz ar to, rēķini, vienlaikus ar tajos iekļautajiem personas datiem un citu aizsargājamu informāciju, var nonākt nepiederošu personu rīcībā.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E-rēķinu aprite e-adresē paaugstinās uzņēmējdarbības vides drošību un, it īpaši, aizsargās tos e-rēķinu sūtītājus un saņēmējus, kuru spējas un iespējas sevi aizsargāt patstāvīgi ir mazākas.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E-adrese un PEPPOL ļauj uzticami un droši identificēt rēķina sūtītāju un aizsargā rēķina saturu, tostarp personas datus un citu aizsargājamu informāciju. Tādējādi e-adreses un PEPPOL lietotāji, pretstatā e-pasta lietotājiem, varēs justies droši, gan nosūtot, gan apmaksājot šajos kanālos saņemtos e-rēķinus."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Bumbiere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izvērst skaidrojumu 1.3. sadaļas rindkopā "</w:t>
            </w:r>
            <w:r w:rsidR="00000000" w:rsidRPr="00000000" w:rsidDel="00000000">
              <w:rPr>
                <w:i w:val="1"/>
                <w:rtl w:val="0"/>
              </w:rPr>
              <w:t xml:space="preserve">Savukārt, lai ar 2026. gada 1. janvāri noteiktu strukturēta elektroniskā rēķina aprites kārtību, t. sk., tehniskos datu apmaiņas ceļus, piegādes un saņemšanas veidus (kanālus), nepieciešamos pielāgojumus e-adresē, saskarņu izmantošanas kārtību un citus e-rēķinu aprites tehniskos aspektus, grozījumi likumā paredz papildināt likuma 11. pantu ar piecpadsmito daļu un pārejas noteikumus ar 10. punktu, nosakot ka Ministru kabinets līdz 2025. gada 1. jūlijam izdos noteikumus, kas piemērojami, sākot no 2026. gada 1. janvāra, kuros būs noteikta strukturēta elektroniskā rēķina aprites kārtība.</w:t>
            </w:r>
            <w:r w:rsidR="00000000" w:rsidRPr="00000000" w:rsidDel="00000000">
              <w:rPr>
                <w:rtl w:val="0"/>
              </w:rPr>
              <w:t xml:space="preserve">" un 4.1.1. sadaļā attiecībā uz aprites kārtību no biznesa procesa puses - proti, ieceri e-rēķinus saņemt arī VID EDS. No pašreizējā likumprojekta un tā anotācijas šāds aspekts nav uztverams saskaņošanas dalībniekiem, tomēr tam ir būtiska nozīme viedokļa sniegšanā, kā arī paredzamo pielāgojumu izprašanā un plānošanā e-adresē un saistīto tiesību normu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apstākli, ka jau pastāv Ministru kabineta 2019. gada 9. aprīļa noteikumi Nr. 154 "Piemērojamais elektroniskā rēķina standarts un tā pamatelementu izmantošanas specifikācija un aprites kārtība", kas jau daļēji satur aprakstīto attiecībā uz plānoto aprites kārtības noteikšanu ar jauniem Ministru kabineta noteikumiem. Kā arī e-adresei kā informācijas sistēmai ir savi Ministru kabineta 2017. gada 12. septembra noteikumi Nr. 546 "Oficiālo elektronisko adrešu informācijas sistēmas noteikumi", kas regulē e-adreses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Bumbiere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nepieciešamību precizēt redakcijas 1.3. sadaļā "..risinājums, kurš nodrošina iespēju ikvienam e-adreses lietotājam e-adresē izveidot strukturētu elektronisko rēķinu un nosūtīt to jebkurai </w:t>
            </w:r>
            <w:r w:rsidR="00000000" w:rsidRPr="00000000" w:rsidDel="00000000">
              <w:rPr>
                <w:b w:val="1"/>
                <w:rtl w:val="0"/>
              </w:rPr>
              <w:t xml:space="preserve">valsts tiešās valsts pārvaldes iestādei</w:t>
            </w:r>
            <w:r w:rsidR="00000000" w:rsidRPr="00000000" w:rsidDel="00000000">
              <w:rPr>
                <w:rtl w:val="0"/>
              </w:rPr>
              <w:t xml:space="preserve">." un "Tādējādi jau šobrīd ir radīti tehniskie priekšnoteikumi, lai būtu iespējams nodrošināt strukturētu elektronisko rēķinu apriti (pēc brīvprātības principa) starp piegādātāju un </w:t>
            </w:r>
            <w:r w:rsidR="00000000" w:rsidRPr="00000000" w:rsidDel="00000000">
              <w:rPr>
                <w:b w:val="1"/>
                <w:rtl w:val="0"/>
              </w:rPr>
              <w:t xml:space="preserve">tiešās valsts pārvaldes iestādi</w:t>
            </w:r>
            <w:r w:rsidR="00000000" w:rsidRPr="00000000" w:rsidDel="00000000">
              <w:rPr>
                <w:rtl w:val="0"/>
              </w:rPr>
              <w:t xml:space="preserve"> preces vai pakalpojuma saņēmēju." un 2.3. sadaļā "Vienlaicīgi tirgū ir pieejami vairāki pakalpojumi, kas nodrošina e-rēķinu apriti, t.sk., valsts uzturēti – risinājums </w:t>
            </w:r>
            <w:r w:rsidR="00000000" w:rsidRPr="00000000" w:rsidDel="00000000">
              <w:rPr>
                <w:b w:val="1"/>
                <w:rtl w:val="0"/>
              </w:rPr>
              <w:t xml:space="preserve">Latvija.lv</w:t>
            </w:r>
            <w:r w:rsidR="00000000" w:rsidRPr="00000000" w:rsidDel="00000000">
              <w:rPr>
                <w:rtl w:val="0"/>
              </w:rPr>
              <w:t xml:space="preserve">, kas nodrošina e-rēķina sagatavošanu un nosūtīšanu </w:t>
            </w:r>
            <w:r w:rsidR="00000000" w:rsidRPr="00000000" w:rsidDel="00000000">
              <w:rPr>
                <w:b w:val="1"/>
                <w:rtl w:val="0"/>
              </w:rPr>
              <w:t xml:space="preserve">valsts pārvaldes iestādēm</w:t>
            </w:r>
            <w:r w:rsidR="00000000" w:rsidRPr="00000000" w:rsidDel="00000000">
              <w:rPr>
                <w:rtl w:val="0"/>
              </w:rPr>
              <w:t xml:space="preserve"> bez 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E-adresē e-rēķinu ir iespējams nosūtīt plašākam subjektu lokam, kas atbilst iestādes terminam Oficiālās elektroniskās adreses likuma 1. panta 6. punkta izpratnē. Proti, šo subjektu loks ir plašāks nekā tikai tiešās valsts pārvaldes iestādes. Turklāt e-adrese ir neatkarīgs risinājums, līdz ar to, termins "risinājums Latvija.lv" šajā kontekstā jāaizstāj ar "Oficiālo elektronisko adrešu informācijas sistēma", turklāt sagatavošana tiek nodrošināta tikai e-adreses pastkastītes lietotājiem portālā Latvija.gov.lv, kamēr nosūtīšana ir pieejama arī programmsaskarnes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Bumbiere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"Paplašināta e-rēķinu aprite e-adresē paaugstinās uzņēmējdarbības vides drošību un, it īpaši, aizsargās tos e-rēķinu sūtītājus un saņēmējus, kuru spējas un iespējas sevi aizsargāt patstāvīgi ir mazākas.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E-adrese ļauj uzticami un droši nosūtīt, saņemt un uzglabāt e-rēķinus, kas var saturēt arī personas datus un citu aizsargājamu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Uzņēmumiem, kas šobrīd e-rēķinu savstarpējai apritei izmanto e-pastu, tiks rasta iespēja e-rēķinu apritei e-adresē. Šobrīd uzņēmumi e-adresē e-rēķinu var nosūtīt tikai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Bumbiere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24-TA-438</w:t>
    </w:r>
    <w:r>
      <w:br/>
    </w:r>
    <w:r w:rsidR="00000000" w:rsidRPr="00000000" w:rsidDel="00000000">
      <w:rPr>
        <w:rtl w:val="0"/>
      </w:rPr>
      <w:t xml:space="preserve">Izdrukāts 04.07.2024. 14.14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24-TA-438</w:t>
    </w:r>
    <w:r>
      <w:br/>
    </w:r>
    <w:r w:rsidR="00000000" w:rsidRPr="00000000" w:rsidDel="00000000">
      <w:rPr>
        <w:rtl w:val="0"/>
      </w:rPr>
      <w:t xml:space="preserve">Izdrukāts 04.07.2024. 14.14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Atzinumi_24-TA-438.docx</dc:title>
</cp:coreProperties>
</file>

<file path=docProps/custom.xml><?xml version="1.0" encoding="utf-8"?>
<Properties xmlns="http://schemas.openxmlformats.org/officeDocument/2006/custom-properties" xmlns:vt="http://schemas.openxmlformats.org/officeDocument/2006/docPropsVTypes"/>
</file>