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nav nekādu nosacījumu attiecībā uz mazas viedējas kapitalizācijas sabiedrībām un vidējas kapitalizācijas sabiedrībām, šim statusam nav noteikumos piešķirta nekāda nozīme. Ņemot vērā, ka 30.05.2024. sanāksmē tika skaidrots, ka mērķis ir atbalstīt arī lielos komersantus, aicinām vienkāršības un skaidrības nolūkos aizstāt šos divus terminus ar Regulas Nr.651/2014 2.panta 24.punkta definīciju, tādējādi sniedzot iespēju atbalstīt arī lielos komersantus.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atteikties no terminiem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finansējuma saņēmējus, lūdzam noteikumu projektā un/vai anotācijā paredzēt, ka attiecībā uz šo noteikumu projekta 2.1. apakšpunktā norādīto uzņēmuma statusu tiek ieviests deklarācijas princips, kā to paredz Valdības rīcības plāna 035 uzdevums, pieejams elektroniski šeit: https://tapportals.mk.gov.lv/structuralizer/data/nodes/e256f693-1185-47b3-b7c1-65b69a9a4511/download.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komentārs, Maija Upeniece).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projekts – projekta iesniedzēja iesniegts dokumentu kopums, kurā iekļauts aizpildīts projekta iesniegums (turpmāk - projekta iesniegums), norādot plānotā un pētniecības projekta nosaukumu, pētniecības projekta īsu aprakstu un īstenošanas laiku, un par kuru saņemts labvēlīgs sadarbības iestādes lēmums par projekta iesniedzēja atbilstību komercdarbības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2.3.apakšpunktu, jo projekta definīcija ir noteikta Eiropas Savienības fondu 2021.—2027. gada plānošanas perioda vadības likuma 1.panta 8.punktā, un nav nepieciešams to dublēt šajā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finansējuma pieejamības nodrošināšana uzņēmumu jaunu produktu, pakalpojumu un tehnoloģiju izstrādei, piesaistot ERAF finansējumu un privāto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MKN projekta 15.2-15.3.apakšpunktā noteiktos priekšnosacījumus atbalsta saņemšanai pasākuma ietvaros, MKN projekta 22.punktā ietvertos aspektus par priekšrokas došanu atbalstam noteiktiem projektiem, kā arī MKN projekta 67.punkta prasības par noteiktu eksporta un produktivitātes rezultātu sasniegšanu, un pienesumu RIS3 jomās, lūdzam EM izvērtēt iespējas šos aspektus ietvert arī pasākuma mērķa formulējumā.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32 501 748 </w:t>
            </w:r>
            <w:r w:rsidR="00000000" w:rsidRPr="00000000" w:rsidDel="00000000">
              <w:rPr>
                <w:i w:val="1"/>
                <w:rtl w:val="0"/>
              </w:rPr>
              <w:t xml:space="preserve">euro </w:t>
            </w:r>
            <w:r w:rsidR="00000000" w:rsidRPr="00000000" w:rsidDel="00000000">
              <w:rPr>
                <w:rtl w:val="0"/>
              </w:rPr>
              <w:t xml:space="preserve">(tai skaitā elastības finansējuma apjoms 5 126 348 </w:t>
            </w:r>
            <w:r w:rsidR="00000000" w:rsidRPr="00000000" w:rsidDel="00000000">
              <w:rPr>
                <w:i w:val="1"/>
                <w:rtl w:val="0"/>
              </w:rPr>
              <w:t xml:space="preserve">euro</w:t>
            </w:r>
            <w:r w:rsidR="00000000" w:rsidRPr="00000000" w:rsidDel="00000000">
              <w:rPr>
                <w:rtl w:val="0"/>
              </w:rPr>
              <w:t xml:space="preserve">), tai skaitā ERAF finansējums 27 626 486 </w:t>
            </w:r>
            <w:r w:rsidR="00000000" w:rsidRPr="00000000" w:rsidDel="00000000">
              <w:rPr>
                <w:i w:val="1"/>
                <w:rtl w:val="0"/>
              </w:rPr>
              <w:t xml:space="preserve">euro </w:t>
            </w:r>
            <w:r w:rsidR="00000000" w:rsidRPr="00000000" w:rsidDel="00000000">
              <w:rPr>
                <w:rtl w:val="0"/>
              </w:rPr>
              <w:t xml:space="preserve">(tai skaitā elastības finansējuma apjoms 4 357 396 </w:t>
            </w:r>
            <w:r w:rsidR="00000000" w:rsidRPr="00000000" w:rsidDel="00000000">
              <w:rPr>
                <w:i w:val="1"/>
                <w:rtl w:val="0"/>
              </w:rPr>
              <w:t xml:space="preserve">euro</w:t>
            </w:r>
            <w:r w:rsidR="00000000" w:rsidRPr="00000000" w:rsidDel="00000000">
              <w:rPr>
                <w:rtl w:val="0"/>
              </w:rPr>
              <w:t xml:space="preserve">) un valsts budžeta līdzfinansējums 4 875 262 </w:t>
            </w:r>
            <w:r w:rsidR="00000000" w:rsidRPr="00000000" w:rsidDel="00000000">
              <w:rPr>
                <w:i w:val="1"/>
                <w:rtl w:val="0"/>
              </w:rPr>
              <w:t xml:space="preserve">euro</w:t>
            </w:r>
            <w:r w:rsidR="00000000" w:rsidRPr="00000000" w:rsidDel="00000000">
              <w:rPr>
                <w:rtl w:val="0"/>
              </w:rPr>
              <w:t xml:space="preserve"> (tai skaitā elastības finansējuma apjoms 768 952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norādītā nacionālā finansējuma apjoma ES fondu daļai atbalsta likme sanāk 85,0000006153515%, t.i. virs 85%. Lai likme netiktu pārsniegta, valsts budžeta finansējumam un attiecīgi arī kopējam finansējumam jābūt pa 1 EUR lielākam.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iznākuma rādītājs - ar grantiem atbalstīto uzņēmumu skaits, tai skaitā mikrouzņēmumi, mazie, vidējie un lielie uzņēmumi – 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rādītāja CRO 02 apjomu, ņemot vērā, ka izdalot kopējo 3.kārtas finansējumu ar maksimālo atbalsta summu vienam projektam, ar grantiem atbalstītu uzņēmumu skaits var būt virs 60. Lūgums pārskatīt un precizēt 1.2.1. SAM "Pētniecības un inovāciju kapacitātes stiprināšana un progresīvu tehnoloģiju ieviešana uzņēmumiem" pasi.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līgums par projekta īstenošanu tiek slēgts starp sadarbības iestādi un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13.punktu, jo minētā norma izriet no Eiropas Savienības fondu 2021.—2027. gada plānošanas perioda vadības likuma 12.panta trešās daļas 13.punkta, kur noteikts, ka sadarbības iestāde, ņemot vērā projekta iesniedzēja juridisko formu un tiesisko statusu, slēdz ar finansējuma saņēmēju līgumu vai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projektu iesniegumu atlasei, projekta iesniedzējam un projekta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45. punkts paredz atbalsta intensitātes palielināšanu efektīvas sadarbības gadījumā, lūdzam noteikumu projekta II. nodaļā paredzēt prasības sadarbības partnerim vai dzēst noteikumu projekta 45.1. un 45.2. apakšpunktus, ja sadarbības projektu īstenošana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īstenošanas veids ir atklāta projektu iesniegumu atlase. Projektu iesniegumu atlases rīko vairākās kārtās, jaunu atklātu projektu iesniegumu atlasi sludinot pēc tam, kad iepriekšējā projektu iesniegumu atlases kārtā finansējums sadalīts atlases kārtā noteiktajā apmērā, paredzot pirmajām trīs atlases kārtām kopējo finansējumu 16 000 000 </w:t>
            </w:r>
            <w:r w:rsidR="00000000" w:rsidRPr="00000000" w:rsidDel="00000000">
              <w:rPr>
                <w:i w:val="1"/>
                <w:rtl w:val="0"/>
              </w:rPr>
              <w:t xml:space="preserve">euro </w:t>
            </w:r>
            <w:r w:rsidR="00000000" w:rsidRPr="00000000" w:rsidDel="00000000">
              <w:rPr>
                <w:rtl w:val="0"/>
              </w:rPr>
              <w:t xml:space="preserve">un ceturtajai un piektajai atlases kārtām kopējo finansējumu 11 375 400 </w:t>
            </w:r>
            <w:r w:rsidR="00000000" w:rsidRPr="00000000" w:rsidDel="00000000">
              <w:rPr>
                <w:i w:val="1"/>
                <w:rtl w:val="0"/>
              </w:rPr>
              <w:t xml:space="preserve">euro</w:t>
            </w:r>
            <w:r w:rsidR="00000000" w:rsidRPr="00000000" w:rsidDel="00000000">
              <w:rPr>
                <w:rtl w:val="0"/>
              </w:rPr>
              <w:t xml:space="preserve">, savukārt noslēguma projektu iesniegumu atlases kārtu organizē par visu pasākuma ietvaros neizmantoto attiecināmo finansējumu, tai skaitā, elastības finansējumu, ja attiecināms. Projektu iesniegumu atlases kārtas grafiku sadarbības iestāde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lūdzam nesadrumstalot pasākumu vairākas projektu iesniegumu atlases kārtas, paredzot, ka jauna projektu iesniegumu atlases kārta tiek organizēta, ja izsludinātās atlases kārtas ietvaros nav sadalīts viss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tiek saglabāts dalījums projektu iesniegumu atlases kārtās, lūdzam precīzi noteikt katrai kārtai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tas neatbilst Eiropas Savienības fondu 2021.-2027. gada plānošanas perioda vadības likuma 22. pantā noteiktajiem izslēgšanas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15.5. un 71.1.apakšpunktu, jo minētās normas ir iekļautas Eiropas Savienības fondu 2021.—2027. gada plānošanas perioda vadības likuma 22. pantā, un atbilstoši Ministru kabineta 2009.gada 3.februāra noteikumiem Nr.108 "Normatīvo aktu projektu sagatavošanas noteikumi" 3.2.apakšpunktam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apstiprina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un augsto interešu konflikta risku, kas izriet no ierobežotā tirgus izmēra, kā arī nolūkā nodrošināt objektīvu vērtējumu, lūdzam paredzēt, ka projektu vērtēšanai tiek iesaistīti ne mazāk kā divi ārvalstu eksperti. Vienlaikus lūdzam izvērtēt, vai nav nepieciešams noteikt, ka eksperta zinātniskajai kvalifikācijai un iepriekšējai pieredzei ir jāatbilst vērtējamā projekta zinātnes nozarei un tematikai.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informējām, ka ļoti līdzīga atbalsta pasākuma ietvaros - "Praktiskas ievirzes pētījumi", kur cita starpā arī komersantiem ir pieejams atbalsts pētījumu veikšanai plānots, ka </w:t>
            </w:r>
            <w:r w:rsidR="00000000" w:rsidRPr="00000000" w:rsidDel="00000000">
              <w:rPr>
                <w:rtl w:val="0"/>
              </w:rPr>
              <w:t xml:space="preserve">katra projekta iesnieguma izvērtēšanā, vidusposma un gala rezultātu zinātniskās kvalitātes izvērtēšanā LZP iesaista ne mazāk kā divus ārvalstu ekspertus</w:t>
            </w:r>
            <w:r w:rsidR="00000000" w:rsidRPr="00000000" w:rsidDel="00000000">
              <w:rPr>
                <w:rtl w:val="0"/>
              </w:rPr>
              <w:t xml:space="preserve">. Ekspertus nav plānots pieaicināt dalībai projektu vērtēšanas sēdēs, bet to saņemtos atzinumus plānots ņemt vērā, veicot projektu iesniegumu izvērtēšanu ( </w:t>
            </w:r>
            <w:r w:rsidR="00000000" w:rsidRPr="00000000" w:rsidDel="00000000">
              <w:rPr>
                <w:rtl w:val="0"/>
              </w:rPr>
              <w:t xml:space="preserve">CFLA un LZP starpresoru vienošanās par sadarbību zinātniskās ekspertīzes nodrošināšanai  projekts, kas paredz, ka visas zinātniskās ekspertīzes nodrošinās LZP</w:t>
            </w:r>
            <w:r w:rsidR="00000000" w:rsidRPr="00000000" w:rsidDel="00000000">
              <w:rPr>
                <w:rtl w:val="0"/>
              </w:rPr>
              <w:t xml:space="preserve"> ).              Aicinām EM izvērtēt iespējas līdzīgu programmu zinātniskās kvalitātes izvērtēšanai neveidot divas dažādas pieejas, tādējādi veidojot divas līdzīgas savstarpēji konkurējošas programmas ar dažādiem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jomai,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21.1. apakšpunktu, neparedzot tādu dokumentu iesniegšanu, kas dublē projekta iesniegumā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kontekstā ar MKN projekta 22.punkta apakšpunktos ietverto informāciju, MKN projekta anotāciju papildināt ar īsu skaidrojumu, kāda veida projekti šeit ir, piemēram, domāti un kā tie var būt saistīti ar pasākuma mērķi; kāpēc tiem piemēram, ir jāatbilst Apvārsnis Eiropa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skaita piešķiršanu saglabāt kritēriju un atlases nolikuma tvērumā, nevis Ministru kabineta noteikumos. Vienlaikus, ja paredzēts 22. punkta apakšpunktā uzskaitītos projektus finansēt izņēmuma kārtā, lūdzam noteikumu projektā paredzēt skaidrus nosacījumus to finansēšanai, tostarp norādot, kas apliecina projekta iesnieguma atbilstību programmas "Digitālā Eiropa" vai  "Apvārsnis Eiropa" nosacījumiem un vai tiek pārņemts citu programmu ietvaros veiktais zinātniskās kvalitātes 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projektiem no reģiona ar zemāku iekšzemes kopprodukta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skaidrot, vai šī punkta kontekstā ar reģioniem ir saprotami plānošanas vai kādi citi reģioni? Lūdzam attiecīgi precizēt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22.5. </w:t>
            </w:r>
            <w:r w:rsidR="00000000" w:rsidRPr="00000000" w:rsidDel="00000000">
              <w:rPr>
                <w:rtl w:val="0"/>
              </w:rPr>
              <w:t xml:space="preserve">apakšpunktā</w:t>
            </w:r>
            <w:r w:rsidR="00000000" w:rsidRPr="00000000" w:rsidDel="00000000">
              <w:rPr>
                <w:rtl w:val="0"/>
              </w:rPr>
              <w:t xml:space="preserve"> minētajiem projektiem atbalstu var sniegt, ja nav pieejams finansējums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kas šīs normas kontekstā ir saprotams ar to, ka "ja nav pieejams finansējums ANM 5112.i investīcijas ietvaros? Kādus gadījumus tas aptver?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ir attiecināmas šādas izmaksas, kas ir izmērāmas, samērīgas, pamatotas un atbilst pareizas finanšu vadības principiem saskaņā ar Komisijas regulas Nr. 2018/1046 33.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Regulas Nr. 651/2014 25. panta 3. punkta e) apakšpunkta nosacījumiem, lūdzam visas MK noteikumu 32. punkta apakšpunktos norādītās izmaksu pozīcijas, kas iekļautas kā tiešās attiecināmās izmaksas atbilstoši Regulas Nr. 651/2014 3. punkta e) apakšpunktam, paredzēt kā vienoto netiešo izmaksu likmi līdz 20 % apmērā, tādējādi ievērojami atvieglojot birokrātisko slogu gan finansējuma saņēmējiem, gan sadarbības iestādei projektu uzraudzības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darba samaksa Darba likuma 59. panta izpratnē, atlīdzība par darba veikšanu tiek noteikta, ņemot vērā darba apjomu un specifiku un tiešās personāla izmaksas iesaistītajiem speciālistiem,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piemērot projekta personāla atlīdzības izmaksām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vai arī ,ja vienotās likmes piemērošana nav iespējama, lūdzam izvērtēt iespējas piemērot citu vienkāršoto izmaksu veidu, piemēram vienas vienības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komandējuma (darba brauciena) izmaksas saskaņā ar normatīvajiem aktiem par kārtību, kādā atlīdzināmi ar komandējumiem saistītie izdevumi, atbilstoši Komisijas regulas Nr. 651/2014 25.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noteikumu projekta 32.3.apakšpunktā minētie komandējumi ir iekšzemes komandējumi, jo ārvalstu komandējumi ir atbalstāmi tikai projekta vadības un īstenošanas personālam. Ja šie komandējumi ir iekšzemes, tad ir piemērojama vadošās iestādes izstrādātā horizontālā metodika Nr. 4.7., 4.2. “Vienas vienības izmaksu standarta likmes aprēķina un piemērošanas metodika iekšzemes komandējumu izmaksām darbības programmas “Izaugsme un nodarbinātība” un Eiropas Savienības kohēzijas politikas programmas 2021.–2027.gadam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EM sniegt pamatojumu dzīvības izmaksu apdrošināšanas izmaksu segšanai vai svītrot dzīvības apdrošināšanas izdevumus no attiecināmajiem izdevumiem. Vai un kādi dzīvības apdraudējumi var FS rasties veicot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dzīvības apdrošināšanas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komunikācijas un vizuālās identitātes izmaksas, atbilstoši Komisijas regulas Nr. 651/2014 25. panta 3. punkta "e"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komunikācijas un vizuālās identitātes pasākumiem, kurus nosaka ES fondu īstenošanas nosacījumi, nav kvalificējams kā komercdarbības atbalsts. Attiecīgi lūdzam pārskatīt noteikumu 32.12.punktā ietverto normu, jo gadījumā, ja tur ir iekļauti komunikācijas un vizuālās identitātes pasākumi, kurus nosaka ES fondu īstenošanas nosacījumi, komercdarbības atbalsta regulējums nav piemērojams. Attiecīgi lūdzam pārskatīt arī citas saistītās noteikumu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minēto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Tiešajās attiecināmajās personāla izmaksās var iekļaut to darbinieku atlīdzības izmaksas, kuri noteiktā laika posmā ne mazāk kā 30% no normālā darba laika katrā mēnesī veic pienākumus, kas saistīti ar projektu, un tas ir pamatots ar atbilstošiem izmaksas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noteikumu projektu ar nosacījumu “vismaz 30% no normālā darba laika strādā ar projektu”, kā arī iekļaut ierobežojumu projekta vadības personāla izmaksām atbilstoši vadošās iestādes vadlīnijām Nr.1.2 "Vadlīnijas attiecināmo izmaksu noteikšanai 2021.-2027.gada plānošanas periodā" - faktiskās izmaksas projektiem ar tiešām attiecināmām izmaksām līdz 5 milj. EUR (ieskaitot), tiešajām attiecināmajām projekta vadības personāla izmaksām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MKN 32.14.apakšpunkta nosacījumus, kas attiecināmi uz dalības maksu iesaistei starptautiskajās iniciatīvās lūdzam EM izveidot sasaisti ar šo MKN punktu vai iekļaut tās vienas normas ietvarā vai secīgi vienu aiz otras.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Sadarbības iestādei, papildus Eiropas Savienības fondu 2021.—2027. gada plānošanas perioda vadības likuma 12. pantā noteiktajam,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dzēst noteikumu projekta 53.punktu,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vērtēšanas komisijā ir arī atbildīgās iestādes pārstāvis, kuram tādējādi ir zināms projektu iesniegumu apstiprināšanas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apstiprinātajiem projektiem tiek publicēta Centrālās finanšu un līgumu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pasākuma ietvaros pieejamo (pēc atlases īstenošanas atlikušo) finansējumu ir pieejama Kohēzijas politikas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atlasē pieejamo finansējumu tiks norādīta atlases nolikumā un nav nepieciešamība papildus publicēt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projektu iesniegumu vērtēšana tiek veikta atbilstoši projektu iesniegumu vērtēšanas kritērijiem, attiecīgi noteikumu projektā nevar noteikt sadarbības iestādei pienākumu atlases ietvaros pārliecināties par tādiem aspektiem, kas nav minēti vērtēšanas kritērijos. Vienlaikus norādām, ka atlases laikā identificēt interešu konflikta pazīmes ir neiespējami, ņemot vērā, ka darbības nevar būt uzsāktas.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ietverot finansējuma saņēmēja pienākumu nodrošināt komunikācijas un vizuālās identitātes prasību ievērošanu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pantam un 50. pantam un normatīvajiem aktiem, kas nosaka kārtību, kādā Eiropas Savienības fondu vadībā iesaistītās institūcijas nodrošina šo fondu ieviešanu 2021.–2027. gada plānošanas periodā.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finansējuma saņēmēja pienākumu iesniegt starpposma un noslēguma maksājuma pieprasījumus, kā arī, ņemot vērā, ka paredzēti avansa maksājumi, aicinām maksājumu pieprasījumu iesniegšanas termiņu noteikt ne biežāk kā reizi 6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īstenošanas laikā finansējuma saņēmējs var saņemt ātrāku maksājumu bez bankas garantijas līdz 75 procentus no sadarbības iestādē iesniegtā maksājuma pieprasījuma, pirms sadarbības iestāde ir pabeigusi attiecīgā maksājuma pieprasījuma izvērtēšanu. Ātrāka maksājuma apjomu sadarbības iestāde nosaka, izvērtējot projekta risku, tai skaitā ņemot vērā statistiku par to, kāda daļa no finansējuma saņēmēja iepriekš iesniegtajiem maksājuma pieprasījumiem pēc sadarbības iestādes veiktajām pārbaudēm tika atzīta par atbilstošu un attiecīgi veikta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61.punktu, jo Ministru kabineta 2023. gada 25. aprīļa noteikumi Nr. 205 "Valsts budžeta līdzekļu plānošanas kārtība Eiropas Savienības fondu projektu īstenošanai un maksājumu veikšanai 2021.–2027. gada plānošanas periodā" (turpmāk - MK noteikumi Nr. 205) neparedz ātrākus maksājumu pieprasījumus. Atbilstoši MK noteikumu Nr. 205 8.punktam finansējuma saņēmējam ir pieejami šādi maksājumu veidi - avansa maksājums, starpposma maksājums un noslēguma maksājums.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īstenošanas laikā finansējuma saņēmējs var saņemt ātrāku maksājumu bez bankas garantijas līdz 75 procentus no sadarbības iestādē iesniegtā maksājuma pieprasījuma, pirms sadarbības iestāde ir pabeigusi attiecīgā maksājuma pieprasījuma izvērtēšanu. Ātrāka maksājuma apjomu sadarbības iestāde nosaka, izvērtējot projekta risku, tai skaitā ņemot vērā statistiku par to, kāda daļa no finansējuma saņēmēja iepriekš iesniegtajiem maksājuma pieprasījumiem pēc sadarbības iestādes veiktajām pārbaudēm tika atzīta par atbilstošu un attiecīgi veikta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saņēmējiem ir pieejams avansa maksājums, lūdzam dzēst punktu par ātrāku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Sadarbības iestādei ir tiesības vienpusēji atkāpties no līguma par projekta īstenošanu jebkurā no šādiem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66.punktā ietverto informāciju pārcelt informatīvos nolūkos uz anotāciju, ņemot vērā, ka sadarbības iestādes tiesības vienpusēji atkāpties no līguma par projekta īstenošanu ir noteiktas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67.3.3. 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 uzņēmējdarbības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noteikts šāds rādītājs. Ja šāda informācija ir nepieciešama, lūdzam izvērtēt iespējas to noteikt par nacionālo rādītāju vai iekļaut to augstāk pie informācijas, kas nav attiecināma uz RIS3 rādītājiem, kas noteikti 67.3 apakšpunktā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67.3.5. fundamentālie pētījumi (pētniecības un attīstības izdevumu apjoms,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MKN punktu no MKN projekta, ņemot vērā fundamentālie pētījumi neatbilst pasākuma konceptam (TRL 4-TRL 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67.3.11. ar projekta īstenošanu saistīto jaunradīto darba vietu pētniecībā un attīstībā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noteikts šāds rādītājs. Ja šāda informācija ir nepieciešama, lūdzam izvērtēt iespējas to noteikt par nacionālo rādītāju vai iekļaut to augstāk pie informācijas, kas nav attiecināma uz RIS3 rādītājiem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67.3.12. iesaistītais pētniecības un attīstības personāls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šādu RIS3 rādītāju un apakšrādītāju formulējums (67.3.12., 67.3.12.1.1., 67.3.12.1.2., 67.3.12.2.1.un 67.3.12.2.2.) neatbilst rādītājam RIS rādītāju katalogā, kas saskaņots starp IZM, EM, FM un CFA nav noteikts šāds rādītājs. Lūdzam izmantot rādītājus no RIS3 kataloga. Gadījumā, ja nepieciešams apkopot vēl kādu papildus informāciju aicinām to iekļaut augstāk pie informācijas, kas nav attiecināma uz RIS3 rādītājiem (piemēram, aiz MKN projekta 67.2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67.3.14. komersanta neto apgrozījums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RIS rādītāju katalogā, kas saskaņots starp IZM, EM, FM un CFA nav noteikti šādi rādītāji. Ja šāda informācija ir nepieciešama, lūdzam to iekļaut augstāk pie informācijas, kas nav attiecināma uz RIS3 rādītājiem, kas noteikti 67.3 apakšpunktā (piemēram, aiz MKN projekta 67.2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67.3.15. komersanta eksports (</w:t>
            </w:r>
            <w:r w:rsidR="00000000" w:rsidRPr="00000000" w:rsidDel="00000000">
              <w:rPr>
                <w:i w:val="1"/>
                <w:rtl w:val="0"/>
              </w:rPr>
              <w:t xml:space="preserve">euro</w:t>
            </w:r>
            <w:r w:rsidR="00000000" w:rsidRPr="00000000" w:rsidDel="00000000">
              <w:rPr>
                <w:rtl w:val="0"/>
              </w:rPr>
              <w:t xml:space="preserve">) no projekta rezultāta ieviešanas saimnieciskajā darbībā vai komercializēšanas;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67.3.14.punkta.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Projektu iesniegumu vērtēšanas komisijas locekļi, eksperti, novērotāji, kas iesaistīti projektu iesniegumu vērtēšanas procesā, paraksta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ietverto apliecinājumu, ka nepiedalīsies projektu iesniegumu izvērtēšanā interešu konflikta situācijā un projektu iesniegumu vērtēšanas komisijas sēdēs, kurās tiks apstiprināti projektu iesniegumi. Apliecinājumu paraksta pirms projektu iesniegumu izskatīšanas un vērtēšanas. Apliecinājumu finansējuma saņēmējs glabā atbilstoši Komisijas regulas Nr. 2018/1046 132. pantam un šo noteikumu </w:t>
            </w:r>
            <w:r w:rsidR="00000000" w:rsidRPr="00000000" w:rsidDel="00000000">
              <w:rPr>
                <w:rtl w:val="0"/>
              </w:rPr>
              <w:t xml:space="preserve">76.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ir projekta iesniedzēja, nevis vērtēšanas komisijas locekļu u.c. apliecinājums. Vienlaikus vēršam uzmanību, ka vērtēšanas komisija tiek izveidota, ievērojot sadarbības iestādes iekšējās kontroles sistēmu, tostarp apliecinājumi tiek izstrādāti atbilstoši sadarbības iestādes iekšējos noteikumos noteiktām redakcijām un aptver arī interešu konflikta risku vadību. Nolūkā mazināt administratīvo slogu, lūdzam atteikties no papildu apliecinājumu parakstīšanas, attiecīgi dzēšot noteikumu projekta 69.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lūdzam papildināt noteikumu projektu ar nosacījumu, ka informācija par šo noteikumu ietvaros izsniegto atbalstu publicē atbilstoši Komisijas regulas Nr.651/2014 9.panta 1.un 4.punktā noteiktajām publicitātes pasākumu prasībām un saskaņā ar normatīvo aktu par kārtību, kādā publicē informāciju par sniegto komercdarbības atbalstu un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Ar komercdarbības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Nr.651/2014 nosacījumu ievērošanu, lūdzam papildināt noteikumu projektu ar nosacījumu par to, ka uz projekta iesniegšanas brīdi tiks vērtēta projekta iesniedzēja atbilstība Komisijas regulas Nr.651/2014 1.panta 4.punkta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attiecīgi lūdzam noteikumu projektu precizēt tā, lai nodrošinātu, ka ar terminu "komersants" tiek saprasts, ka komersants tiek vērtēts uzņēmumu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Finansējuma saņēmējs projekta ietvaros nedrīkst izmantot pētniecības iekārtas, kas iepirktas citu ar saimniecisko darbību nesaistītu projektu ietvaros, izņemot gadījumu, ja finansējuma saņēmējs veic ar saimniecisko darbību nesaistītu pētniecības projektu. Ar saimniecisko darbību nesaistīti pētniecības projekti ir tādi projekti, kuros nodrošināta efektīva sadarbība un intelektuālā īpašuma tiesības, kas izriet no pētniecības un zināšanu izplatīšanas organizācijas projekta ietvaros veiktās darbības, pilnībā tiek piešķirtas pētniecības un zināšanu izplatīšanas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šīs normas būtība, jo šī pasākuma ietvaros tiek īstenoto tikai ar saimniecisku darbību saistīti projekti, attiecīgi lūdzam precizēt noteikumu 73.punktu.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1.pielikumā iekļauto apliecinājumu, ņemot vērā, ka tiks īstenots Eiropas Reģionālās attīstības fonda projekts, nevis Atveseļošanas un noturības mehānisma (Atveseļošanas fonda)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projekti “1.1.1.3. pasākuma “Praktiskas ievirzes pētījumi” īstenošanas noteikumi” (23-TA-611)“ un "Noteikumi par produktivitātes aizdevumiem uzņēmumu inovācijām” (23-TA-2315) paredz atbalstu pētniecības darbībām, kas ietver tehniski ekonomisko priekšizpēti, rūpnieciskos pētījumus un eksperimentālo izstrādni, lūdzam sniegt skaidrojumu, kā tiks nodrošināta demarkācija ar noteikumu projektā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sadaļas V. "Projekta īstenošanas un finansējuma saņemšanas nosacījumi"apakšsadaļā "Pušu tiesības un pienākumi" vienotas finansējuma saņēmēju izpratnes nodrošināšanai, MKN projektā un/vai anotācijā iekļaut informāciju ar produktivitātes definīciju un kā tā ir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sadaļā "I Vispārīgie jautājumi" skaidrot, kāda un kādos gadījumos lielajiem komersantiem būs motivācija sadarboties ar MVU P&amp;I darbībās, ņemot vērā, ka tieši lielajiem komersantiem pašiem ir sava P&amp;A kapacitāte un individuālu pētījumu gadījumos tiem lielākoties nav nepieciešams piesaistīt p atzinātniskās institūcijas. No otras puses, nav lietderīgi MKN iekļaut komersantiem neizpildāmas normas un/ vai normas, kas veicina mākslīgu sadarbību veidošanu, lai izpildītu kvalificēšanās atbalstam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punktā "Pašreizējā situācija, problēmas un risinājums" dzēst sadaļas "I Vispārīgie jautājumi " pēdējo teikumu, ievērojot to, ka atbilstoši Programmai 1.2.1.1. pasākumā nav plānoti stratēģiski svarīgi projekti (šādas informācijas nav arī FM sagatavotajos Programmas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valsts budžetu, ievērojot, ka 1. un 1.1.punktā jānorāda Eiropas Reģionālās attīstības fonda finansējuma daļa, 2. un 2.1.punktā kopējais finansējuma apmērs, savukārt 3., 3.1., 5. un 5.1. punktā valsts budžeta finansējuma daļa. Vienlaikus 6.punktā lūdzam norādīt kopējā finansējuma sadalījumu pa gadiem, jo šobrīd ir sadalījums tikai Eiropas Reģionālās attīstības fonda finansējuma daļai. Papildus lūdzam izvērtēt un nepieciešamības gadījumā precizēt punktā “Cita informāciju” norādīto ministriju, kura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ņemot vērā, ka atbilstoši noteikumu projekta 13.punktam līgums par projekta īstenošanu tiek slēgts starp sadarbības iestādi, kas ir Centrālā finanšu un līgumu aģentūra,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03.05. sanāksmē no EM izskanējušo informāciju, ka atbalstāmi būs arī aizsardzības nozares pētījumi, lūdzu izvērtēt, vai atbalsta programmā nebūtu iekļaujams atbalsts atbilstoši Regulas Nr.651/2014 25. e nosacījumiem, proti, atbalsta intensitātes būtu augstākas, līdz 100%, ja ir iespējams izpildīt visus Regulas Nr.651/2014 25. e nosacījumus. (CFLA komentārs, Līga Grantiņa).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2.1.apakšpunktu, pēc nepieciešamības papildinot noteikumu projekta 15.punktu. Vienlaikus vēršam uzmanību, ka atbilstoši Eiropas Savienības fondu regulējumam nav korekti norādīt, ka projekta iesniedzējs, ar kuru sadarbības iestāde noslēgusi līgumu par projekta īstenošanu, pēc līguma noslēgšanas kļūst par gala labuma guvēju, ņemot vērā, ka gala labuma guvējam ir specifiska loma Eiropas Savienības fondu projektu īstenošanā. Līdz ar to lūdzam svītrot minēto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finansējuma saņēmējus, lūdzam noteikumu projektā un/vai anotācijā paredzēt, ka attiecībā uz šo noteikumu projekta 2.1. apakšpunktā norādīto uzņēmuma statusu tiek ieviests deklarācijas princips, kā to paredz Valdības rīcības plāna 035 uzdevums, pieejams elektroniski šeit: https://tapportals.mk.gov.lv/structuralizer/data/nodes/e256f693-1185-47b3-b7c1-65b69a9a4511/download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sīkais (mikro), mazais un vidējais komersants – komersants, kas atbilst Komisijas regulas Nr. 651/2014 I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2.1.punktā ir noteikts finansējuma saņēmējs, kas atbilst sīkā (mikro), mazā vai vidējā saimnieciskās darbības subjekta statusam, dodot atsauci uz Komisijas regula Nr. 651/2014 2. panta 2. punktu, kas nosaka, ka "“mazie un vidējie uzņēmumi” jeb “MVU” ir uzņēmumi, kas atbilst I pielikumā noteiktajiem kritērijiem", aicinām izvērtēt noteikumu 2.5.punkta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kopējais pieejamais finansējums ir 27 375 400 </w:t>
            </w:r>
            <w:r w:rsidR="00000000" w:rsidRPr="00000000" w:rsidDel="00000000">
              <w:rPr>
                <w:i w:val="1"/>
                <w:rtl w:val="0"/>
              </w:rPr>
              <w:t xml:space="preserve">euro</w:t>
            </w:r>
            <w:r w:rsidR="00000000" w:rsidRPr="00000000" w:rsidDel="00000000">
              <w:rPr>
                <w:rtl w:val="0"/>
              </w:rPr>
              <w:t xml:space="preserve">, tai skaitā ERAF finansējums 23 269 090 </w:t>
            </w:r>
            <w:r w:rsidR="00000000" w:rsidRPr="00000000" w:rsidDel="00000000">
              <w:rPr>
                <w:i w:val="1"/>
                <w:rtl w:val="0"/>
              </w:rPr>
              <w:t xml:space="preserve">euro</w:t>
            </w:r>
            <w:r w:rsidR="00000000" w:rsidRPr="00000000" w:rsidDel="00000000">
              <w:rPr>
                <w:rtl w:val="0"/>
              </w:rPr>
              <w:t xml:space="preserve"> un valsts budžeta finansējums 4 106 310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nodrošinātu viennozīmīgu normas interpretāciju, lūdzam noteikumu projekta 7.punktu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iesniegumos pasākuma īstenošanai kopējo pasākuma pieejamo finansējumu plāno ne vairāk kā 27 375 400 </w:t>
            </w:r>
            <w:r w:rsidR="00000000" w:rsidRPr="00000000" w:rsidDel="00000000">
              <w:rPr>
                <w:i w:val="1"/>
                <w:rtl w:val="0"/>
              </w:rPr>
              <w:t xml:space="preserve">euro</w:t>
            </w:r>
            <w:r w:rsidR="00000000" w:rsidRPr="00000000" w:rsidDel="00000000">
              <w:rPr>
                <w:rtl w:val="0"/>
              </w:rPr>
              <w:t xml:space="preserve"> apmērā, tai skaitā ERAF finansējumu – 23 269 090 </w:t>
            </w:r>
            <w:r w:rsidR="00000000" w:rsidRPr="00000000" w:rsidDel="00000000">
              <w:rPr>
                <w:i w:val="1"/>
                <w:rtl w:val="0"/>
              </w:rPr>
              <w:t xml:space="preserve">euro</w:t>
            </w:r>
            <w:r w:rsidR="00000000" w:rsidRPr="00000000" w:rsidDel="00000000">
              <w:rPr>
                <w:rtl w:val="0"/>
              </w:rPr>
              <w:t xml:space="preserve"> apmērā, valsts budžeta finansējumu – 4 106 310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palielināt pasākumam kopējo pieejamo attiecināmo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maksimālajam apmēram, paredzot jaunu, slēgtu projekta iesnieguma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punktā vārdu "slēgtu", jo atbilstoši Eiropas Savienības fondu 2021.—2027. gada plānošanas perioda vadības likuma 20. panta pirmajai daļai ir divi projektu iesniegumu atlases veidi - atklātas projektu iesniegumu atlases un ierobežotas projektu iesniegumu atlases, nevis slēgtas projektu iesniegumu atlases.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8.punktu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Atbildīgā iestāde pēc Eiropas Komisijas lēmuma par vidusposma pārskatu var ierosināt </w:t>
            </w:r>
            <w:r w:rsidR="00000000" w:rsidRPr="00000000" w:rsidDel="00000000">
              <w:rPr>
                <w:u w:val="single"/>
                <w:rtl w:val="0"/>
              </w:rPr>
              <w:t xml:space="preserve">no 2026. gada 1. janvāra</w:t>
            </w:r>
            <w:r w:rsidR="00000000" w:rsidRPr="00000000" w:rsidDel="00000000">
              <w:rPr>
                <w:rtl w:val="0"/>
              </w:rPr>
              <w:t xml:space="preserve"> palielināt pasākumam kopējo pieejamo attiecināmo finansējumu līdz šo noteikumu 6. punktā minētajam plānotajam maksimālajam apmēram, paredzot jaunu </w:t>
            </w:r>
            <w:r w:rsidR="00000000" w:rsidRPr="00000000" w:rsidDel="00000000">
              <w:rPr>
                <w:u w:val="single"/>
                <w:rtl w:val="0"/>
              </w:rPr>
              <w:t xml:space="preserve">atklātu</w:t>
            </w:r>
            <w:r w:rsidR="00000000" w:rsidRPr="00000000" w:rsidDel="00000000">
              <w:rPr>
                <w:rtl w:val="0"/>
              </w:rPr>
              <w:t xml:space="preserve">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w:t>
            </w:r>
            <w:r w:rsidR="00000000" w:rsidRPr="00000000" w:rsidDel="00000000">
              <w:rPr>
                <w:rtl w:val="0"/>
              </w:rPr>
              <w:t xml:space="preserve">, maksimāli pieļaujamais finansējums viena projekta ietvaros ir 500 000 </w:t>
            </w:r>
            <w:r w:rsidR="00000000" w:rsidRPr="00000000" w:rsidDel="00000000">
              <w:rPr>
                <w:i w:val="1"/>
                <w:rtl w:val="0"/>
              </w:rPr>
              <w:t xml:space="preserve">euro</w:t>
            </w:r>
            <w:r w:rsidR="00000000" w:rsidRPr="00000000" w:rsidDel="00000000">
              <w:rPr>
                <w:rtl w:val="0"/>
              </w:rPr>
              <w:t xml:space="preserve">, tai skaitā ERAF finansējums 425 000 </w:t>
            </w:r>
            <w:r w:rsidR="00000000" w:rsidRPr="00000000" w:rsidDel="00000000">
              <w:rPr>
                <w:i w:val="1"/>
                <w:rtl w:val="0"/>
              </w:rPr>
              <w:t xml:space="preserve">euro, </w:t>
            </w:r>
            <w:r w:rsidR="00000000" w:rsidRPr="00000000" w:rsidDel="00000000">
              <w:rPr>
                <w:rtl w:val="0"/>
              </w:rPr>
              <w:t xml:space="preserve">valsts budžeta finansējums 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vienam projekta iesniegumam noteikto minimāli un maksimāli pieļaujamo finansējuma apmēru viena projekta ietvaros vai sasniedzamo iznākuma rādītāju, ievērojot to, ka grozījumi Programmā vēl ir saskaņošanas procesā. Vēršam uzmanību, ka, pat tad, ja visi projekti tiks iesniegti par maksimālo finansējuma apmēru, pasākuma ietvaros iespējams sniegt atbalstu lielākam skaitam uzņēmumu (27 626 486/425 000 = 65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Vienam projekta iesniegumam minimālais kopējo attiecināmo izmaksu apmērs nav mazāks kā 200 000 </w:t>
            </w:r>
            <w:r w:rsidR="00000000" w:rsidRPr="00000000" w:rsidDel="00000000">
              <w:rPr>
                <w:i w:val="1"/>
                <w:rtl w:val="0"/>
              </w:rPr>
              <w:t xml:space="preserve">euro</w:t>
            </w:r>
            <w:r w:rsidR="00000000" w:rsidRPr="00000000" w:rsidDel="00000000">
              <w:rPr>
                <w:rtl w:val="0"/>
              </w:rPr>
              <w:t xml:space="preserve">, maksimāli pieļaujamais finansējums viena projekta ietvaros ir 500 000 </w:t>
            </w:r>
            <w:r w:rsidR="00000000" w:rsidRPr="00000000" w:rsidDel="00000000">
              <w:rPr>
                <w:i w:val="1"/>
                <w:rtl w:val="0"/>
              </w:rPr>
              <w:t xml:space="preserve">euro</w:t>
            </w:r>
            <w:r w:rsidR="00000000" w:rsidRPr="00000000" w:rsidDel="00000000">
              <w:rPr>
                <w:rtl w:val="0"/>
              </w:rPr>
              <w:t xml:space="preserve">, tai skaitā ERAF finansējums 425 000 </w:t>
            </w:r>
            <w:r w:rsidR="00000000" w:rsidRPr="00000000" w:rsidDel="00000000">
              <w:rPr>
                <w:i w:val="1"/>
                <w:rtl w:val="0"/>
              </w:rPr>
              <w:t xml:space="preserve">euro, </w:t>
            </w:r>
            <w:r w:rsidR="00000000" w:rsidRPr="00000000" w:rsidDel="00000000">
              <w:rPr>
                <w:rtl w:val="0"/>
              </w:rPr>
              <w:t xml:space="preserve">valsts budžeta finansējums 75 000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53.panta 2.punktam, projektos līdz 200 000 EUR (ieskaitot) visām izmaksām jābūt segtām, piemērojot vienkāršotās izmaksas. Attiecīgi pēc šīs noteikumu projekta redakcijas saprotams, ka uz projektiem var attiekties šis regulas nosacījums un visām izmaksām būtu jābūt segtām ar vienkāršotajām izmaksām. Aicinām precizēt redakciju un anotāciju, lai viennozīmīgi skaidrs, ka minētās regulas prasība nav attiecināma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Vienam projekta iesniegumam minimālais kopējo attiecināmo izmaksu apmērs nav mazāk par 200 000 euro (ieskaitot), maksimāli pieļaujamais finansējums viena projekta ietvaros ir 500 000 euro, tai skaitā ERAF finansējums 425 000 euro, valsts budžeta finansējums 75 000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komercdarbības atbalsts tiek sniegts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11.punktā svītrot vārdu "komercdarbības", jo pasākuma ietvaros noteikumu projektā norāda plānoto atbalsta veidu (grantu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23. un 55.punktu svītrot un attiecīgajos punktos noteikto informāciju iekļaut projekta iesniegumu atlases nolikumā, nevis noteikumu projektā. Vēršam uzmanību, ka atbilstoši Eiropas Savienības fondu 2021.—2027. gada plānošanas perioda vadības likuma 1.panta 11.punktam projektu iesniegumu atlases nolikums ir dokumentu kopums, kurā ietverta informācija par projektu iesniegumu vērtēšanas kārtību, projektu iesniegumu vērtēšanas kritēriji, šo kritēriju piemērošanas metodika, īguma vai vienošanās par projekta īstenošanu projekts, un cita projektu iesniegumu atlasei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ietvaros sadarbības iestāde augstāko punktu skaitu 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STEP regulu (2024/795) tiek izveidots "</w:t>
            </w:r>
            <w:r w:rsidR="00000000" w:rsidRPr="00000000" w:rsidDel="00000000">
              <w:rPr>
                <w:i w:val="1"/>
                <w:rtl w:val="0"/>
              </w:rPr>
              <w:t xml:space="preserve">Sovereignty seal</w:t>
            </w:r>
            <w:r w:rsidR="00000000" w:rsidRPr="00000000" w:rsidDel="00000000">
              <w:rPr>
                <w:rtl w:val="0"/>
              </w:rPr>
              <w:t xml:space="preserve">", ko piešķirs STEP mērķiem atbilstošiem projektiem, kas atbilst minimālajām kvalitātes prasībām (tostarp atbilstības, izslēgšanas un piešķiršanas kritērijiem) Digitālās Eiropas programmas, Eiropas Aizsardzības fonda, EU4Health programmas, "Apvārsnis Eiropa" un Inovāciju fonda ietvaros. Rosinām izvērtēt, vai arī "</w:t>
            </w:r>
            <w:r w:rsidR="00000000" w:rsidRPr="00000000" w:rsidDel="00000000">
              <w:rPr>
                <w:i w:val="1"/>
                <w:rtl w:val="0"/>
              </w:rPr>
              <w:t xml:space="preserve">Sovereignty seal</w:t>
            </w:r>
            <w:r w:rsidR="00000000" w:rsidRPr="00000000" w:rsidDel="00000000">
              <w:rPr>
                <w:rtl w:val="0"/>
              </w:rPr>
              <w:t xml:space="preserve">" nebūtu iekļaujams kā viens no nosacījumiem augstākam projekta 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Atbalstāmo darbību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Komisijas regulas Nr. 651/2014 1. panta 2. punkta "c" un "d" apakšpunktā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2. punkta "c" un "d" apakšpunktā ir noteiktas neatbalstāmās darbības, nevis nozares, lūdzam precizēt noteikumu 29.7.punktu, svītrojot vārdus "un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Komisijas regulas Nr. 651/2014 1. panta 3. punktā noteiktajām neatbalstāmajām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1. panta 3. punktā noteiktās neatbalstāmās nozares nav izslēgtas no atbalsta tvēruma pētniecības un attīstības jomā, aicinām izvērtēt noteikuma 29.8.punkta nepieciešamību. Ja plānots noteikumos paredzēt stingrākas prasības nekā nosaka Komisijas regula Nr. 651/2014, lūdzam ar atbilstošu izvērtējumu un skaidrojumu lūdzam papildināt anotācijas 5.sadaļu.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arī noteikumu 30.punktu.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citas izmaksas, tostarp finansējuma saņēmēja dalības maksa iesaistei starptautiskās pētniecības un attīstības programmās, platformās un iniciatīvās, dalības maksa tīklošanās un mobilitātes pasākumiem, starptautisko projektu sagatavošanas izmaksas, lai iesaistītos starptautiskos konsorcijos, atbilstoši Komisijas regulas Nr. 651/2014 25. panta 3. punkta "e" apakšpunktam, ciktāl tās attiecas uz pētniecības vai tehniski ekonomiskās priekšizpētes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segt šis izmaksas "citas izmaksas" ar netiešo izmaksu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Atbildīgā iestāde projekta īstenošanas starpposma un noslēguma periodā var veikt projekta ieviešanas un sasniegto rādītāju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svītrot noteikumu projekta 52.punktu. Vēršam uzmanību, ka Eiropas Savienības fondu 2021.—2027. gada plānošanas perioda vadības likuma 11.panta trešās daļas 10.punkts nosaka pienākumu atbildīgajai iestādei izmantot Kohēzijas politikas fondu vadības informācijas sistēmu specifiskā atbalsta mērķa rādītāju sasniegšanas un īstenošanas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Pasākuma ietvaros izmaksas iespējams attiecināt līdz 2029. gada 31. decembrim. Ja finansējuma saņēmējam projekta ietvaros izmaksas rodas pēc 2029. gada 31. decembra, tās tiek segtas no finansējuma saņēmēja līdzekļiem, kas ir brīvi no komercdarbības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norādīt projekta īstenošanas termiņu, kas nepārsniedz izmaksu attiecināmības perioda beigu termiņu – 2029.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Projekta īstenošanas laikā finansējuma saņēmējs var saņemt avansu, kas nepārsniedz 30 procentus no projekta Eiropas Savienības fondu un valsts budžeta finansējuma kopsummas, vienlaikus nodrošinot, ka avansa un starpposma maksājumu kopsumma nepārsniedz 90 procentus no Eiropas Savienības fondu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62.punktu, norādot, ka avansa, kā arī avansa un starpposma maksājuma kopsumma ir no </w:t>
            </w:r>
            <w:r w:rsidR="00000000" w:rsidRPr="00000000" w:rsidDel="00000000">
              <w:rPr>
                <w:u w:val="single"/>
                <w:rtl w:val="0"/>
              </w:rPr>
              <w:t xml:space="preserve">Eiropas Reģionālās attīstības fonda</w:t>
            </w:r>
            <w:r w:rsidR="00000000" w:rsidRPr="00000000" w:rsidDel="00000000">
              <w:rPr>
                <w:rtl w:val="0"/>
              </w:rPr>
              <w:t xml:space="preserve"> un valsts budžeta finansējuma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Projekta īstenošanas laikā finansējuma saņēmējs var saņemt avansu, kas nepārsniedz 30 procentus no </w:t>
            </w:r>
            <w:r w:rsidR="00000000" w:rsidRPr="00000000" w:rsidDel="00000000">
              <w:rPr>
                <w:u w:val="single"/>
                <w:rtl w:val="0"/>
              </w:rPr>
              <w:t xml:space="preserve">projektam piešķirtā ERAF</w:t>
            </w:r>
            <w:r w:rsidR="00000000" w:rsidRPr="00000000" w:rsidDel="00000000">
              <w:rPr>
                <w:rtl w:val="0"/>
              </w:rPr>
              <w:t xml:space="preserve"> un valsts budžeta finansējuma kopsummas, vienlaikus nodrošinot, ka avansa un starpposma maksājumu kopsumma nepārsniedz 90 procentus no </w:t>
            </w:r>
            <w:r w:rsidR="00000000" w:rsidRPr="00000000" w:rsidDel="00000000">
              <w:rPr>
                <w:u w:val="single"/>
                <w:rtl w:val="0"/>
              </w:rPr>
              <w:t xml:space="preserve">projektam piešķirtā ERAF</w:t>
            </w:r>
            <w:r w:rsidR="00000000" w:rsidRPr="00000000" w:rsidDel="00000000">
              <w:rPr>
                <w:rtl w:val="0"/>
              </w:rPr>
              <w:t xml:space="preserve"> un valsts budžeta finansējuma kopsummas,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uzņemas risku visas radušās izmaksas segt no saviem līdzekļiem, ja sadarbības iestāde pieņem lēmumu par komercdarbības atbalsta nepiešķiršanu vai konstatē neatbilstības projektu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64.punkta redakciju, lai būtu viennozīmīgi skaidrs, kādas izmaksas finansējuma saņēmējs uzņemas segt no saviem līdzekļiem. Vēršam uzmanību, ka vērtēšanas process ir saistīts ar projektu iesniegumu vērtēšanu, bet neatbilstības var rasties projekta īstenošanas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apliecinājumā norādīts nekorekts fonds - šobrīd norādīts Atveseļošanās fonds. Vienlaikus lūdzam izvērtēt šāda apliecinājuma nepieciešamību, ievērojot to, ka noteikumu projekts neparedz daudzpakāpju projekta īstenošanu, kā arī projektu vērtēšanas komisija tiek izveidota, ievērojot sadarbības iestādes iekšējās kontroles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"Risinājuma apraksts" pie informācijas par interešu konflikta novēršanu, paredzot,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Aiicnām EM anotācijas sadaļu "Vai ir izvērtēti alternatīvie risinājumi?"  papildināt ar informāciju ar apsvērumiem kāpēc ESIF 2021-2027.gadā netiek turpināts atbalsts pētījumiem, ieviešot to caur KC kā ESF 2014.-2020.gada periodā un ANM investīciju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sadaļas apakšsadaļu "Juridiskās personas" ar norādi uz komersantu, kas reģistrēts Latvijas Republikas Komercreģistrā, un Ekonomikas ministriju, savukārt atbilstošajā apakšsadaļā "Ietekmes apraksts" norādīt, ka komersants, kas reģistrēts Latvijas Republikas Komercreģistrā, pildīs finansējuma saņēmēja funkcijas, un Ekonomikas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