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vienlīdzīgu un kvalitatīvu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Satiksmes ministriju (turpmāk – SM) pārskatīt pasākuma mērķi, to formulējot ne tik vispārīgu, bet atbilstoši pasākuma ietvaros plānotajam atbalsta fokusam. Vēršam uzmanību, ka Eiropas Savienības kohēzijas politikas programmas 2021.-2027. gadam 132. paragrāfs paredz ļoti augstas veiktspējas elektronisko sakaru tīklu infrastruktūras izveidi elektronisko sakaru pakalpojumu pieejamības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mērķis ir nodrošināt ļoti augstas veiktspējas elektronisko sakaru pakalpojumu pieejamību galalietotājiem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 un normatīvajiem aktiem par Eiropas Savienības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viennozīmīgu interpretāciju, atkārtoti lūdzam konkretizēt noteikumu projekta 8. punktā minēto normatīvo aktu jomu, ņemot vērā, ka esošā norāde "normatīvajiem aktiem par Eiropas Savienības fondu ieviešanu 2021.-2027. gada plānošanas periodā" ir vispārīga, vai svītrot attiecīgo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visi īstenotie projekti ir stratēģiskas nozīmes projekti saskaņā ar Eiropas Savienības kohēzijas politikas programmu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ietvaros plānotais kopējais attiecināmais finansējums ir 8 700 001 </w:t>
            </w:r>
            <w:r w:rsidR="00000000" w:rsidRPr="00000000" w:rsidDel="00000000">
              <w:rPr>
                <w:i w:val="1"/>
                <w:rtl w:val="0"/>
              </w:rPr>
              <w:t xml:space="preserve">euro</w:t>
            </w:r>
            <w:r w:rsidR="00000000" w:rsidRPr="00000000" w:rsidDel="00000000">
              <w:rPr>
                <w:rtl w:val="0"/>
              </w:rPr>
              <w:t xml:space="preserve"> (tai skaitā elastības finansējuma apjoms 1 372 211 </w:t>
            </w:r>
            <w:r w:rsidR="00000000" w:rsidRPr="00000000" w:rsidDel="00000000">
              <w:rPr>
                <w:i w:val="1"/>
                <w:rtl w:val="0"/>
              </w:rPr>
              <w:t xml:space="preserve">euro</w:t>
            </w:r>
            <w:r w:rsidR="00000000" w:rsidRPr="00000000" w:rsidDel="00000000">
              <w:rPr>
                <w:rtl w:val="0"/>
              </w:rPr>
              <w:t xml:space="preserve">), tai skaitā Eiropas Reģionālās attīstības fonda finansējums 7 395 000 </w:t>
            </w:r>
            <w:r w:rsidR="00000000" w:rsidRPr="00000000" w:rsidDel="00000000">
              <w:rPr>
                <w:i w:val="1"/>
                <w:rtl w:val="0"/>
              </w:rPr>
              <w:t xml:space="preserve">euro</w:t>
            </w:r>
            <w:r w:rsidR="00000000" w:rsidRPr="00000000" w:rsidDel="00000000">
              <w:rPr>
                <w:rtl w:val="0"/>
              </w:rPr>
              <w:t xml:space="preserve"> (tai skaitā elastības finansējuma apjoms 1 166 379 </w:t>
            </w:r>
            <w:r w:rsidR="00000000" w:rsidRPr="00000000" w:rsidDel="00000000">
              <w:rPr>
                <w:i w:val="1"/>
                <w:rtl w:val="0"/>
              </w:rPr>
              <w:t xml:space="preserve">euro</w:t>
            </w:r>
            <w:r w:rsidR="00000000" w:rsidRPr="00000000" w:rsidDel="00000000">
              <w:rPr>
                <w:rtl w:val="0"/>
              </w:rPr>
              <w:t xml:space="preserve">) un privātais finansējums – ne mazāks par 1 305 001 </w:t>
            </w:r>
            <w:r w:rsidR="00000000" w:rsidRPr="00000000" w:rsidDel="00000000">
              <w:rPr>
                <w:i w:val="1"/>
                <w:rtl w:val="0"/>
              </w:rPr>
              <w:t xml:space="preserve">euro</w:t>
            </w:r>
            <w:r w:rsidR="00000000" w:rsidRPr="00000000" w:rsidDel="00000000">
              <w:rPr>
                <w:rtl w:val="0"/>
              </w:rPr>
              <w:t xml:space="preserve"> (tai skaitā elastības finansējuma apjoms 205 832 </w:t>
            </w:r>
            <w:r w:rsidR="00000000" w:rsidRPr="00000000" w:rsidDel="00000000">
              <w:rPr>
                <w:i w:val="1"/>
                <w:rtl w:val="0"/>
              </w:rPr>
              <w:t xml:space="preserve">euro</w:t>
            </w:r>
            <w:r w:rsidR="00000000" w:rsidRPr="00000000" w:rsidDel="00000000">
              <w:rPr>
                <w:rtl w:val="0"/>
              </w:rPr>
              <w:t xml:space="preserve">). Maksimālā Eiropas Reģionālās attīstības fonda finansējuma intensitāte ir 85 % no projektam plānotā kopējā attiecināmā finansējuma, un privātais līdzfinansējums nav mazāks par 15 % no projektam plānotā kopējā attiecināmā finansējuma. Potenciālo neto ienākumu no projekta aprēķina saskaņā ar projekta diskontēto neto ienākumu aprēķināšanas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pasākuma projektu atlasē tiek piemērots Eiropas Komisijas regulas Nr. 651/2014 52. panta 7. punkta a) apakšpunkts, kas paredz saimnieciski izdevīgākā piedāvājuma izvēli, un projektu atlasē kā kritērijs netiek piemērota izmaksu un ieguvumu analīze, noteikumu projekta 11. punkta pēdējais teikums - “Potenciālo neto ienākumu no projekta aprēķina saskaņā ar projekta diskontēto neto ienākumu aprēķināšanas metodi” - ir dzēšams.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Putniņa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Pieejamais attiecināmais finansējums līdz 2025. gada 31. decembrim, lai slēgtu līgumus par projektu īstenošanu, ir ne mazāks kā 7 327 790 </w:t>
            </w:r>
            <w:r w:rsidR="00000000" w:rsidRPr="00000000" w:rsidDel="00000000">
              <w:rPr>
                <w:i w:val="1"/>
                <w:rtl w:val="0"/>
              </w:rPr>
              <w:t xml:space="preserve">euro</w:t>
            </w:r>
            <w:r w:rsidR="00000000" w:rsidRPr="00000000" w:rsidDel="00000000">
              <w:rPr>
                <w:rtl w:val="0"/>
              </w:rPr>
              <w:t xml:space="preserve">, tai skaitā Eiropas Reģionālās attīstības fonda finansējums – 6 228 621 </w:t>
            </w:r>
            <w:r w:rsidR="00000000" w:rsidRPr="00000000" w:rsidDel="00000000">
              <w:rPr>
                <w:i w:val="1"/>
                <w:rtl w:val="0"/>
              </w:rPr>
              <w:t xml:space="preserve">euro</w:t>
            </w:r>
            <w:r w:rsidR="00000000" w:rsidRPr="00000000" w:rsidDel="00000000">
              <w:rPr>
                <w:rtl w:val="0"/>
              </w:rPr>
              <w:t xml:space="preserve"> un privātais līdzfinansējums – ne mazāks kā 1 099 169 </w:t>
            </w:r>
            <w:r w:rsidR="00000000" w:rsidRPr="00000000" w:rsidDel="00000000">
              <w:rPr>
                <w:i w:val="1"/>
                <w:rtl w:val="0"/>
              </w:rPr>
              <w:t xml:space="preserve">euro</w:t>
            </w:r>
            <w:r w:rsidR="00000000" w:rsidRPr="00000000" w:rsidDel="00000000">
              <w:rPr>
                <w:rtl w:val="0"/>
              </w:rPr>
              <w:t xml:space="preserve">, nepārsniedzot </w:t>
            </w:r>
            <w:r w:rsidR="00000000" w:rsidRPr="00000000" w:rsidDel="00000000">
              <w:rPr>
                <w:rtl w:val="0"/>
              </w:rPr>
              <w:t xml:space="preserve">regulas nr. 651/2014</w:t>
            </w:r>
            <w:r w:rsidR="00000000" w:rsidRPr="00000000" w:rsidDel="00000000">
              <w:rPr>
                <w:rtl w:val="0"/>
              </w:rPr>
              <w:t xml:space="preserve"> 4. panta y apakšpunktā dotācijai noteikto paziņošanas robežvērtību.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finansējuma saņēmējiem ir skaidri atlases īstenošanas nosacījumi, aicinām izvērtēt papildinājuma "nepārsniedzot regulas Nr. 651/2014 4. panta y apakšpunktā dotācijai noteikto paziņošanas robežvērtību" atrašanās vietu. Ņemot vērā, ka regulas Nr. 651/2014 4. panta y apakšpunkts nosaka maksimālās izmaksas vienam projektam, bet noteikumu projekta 12. punkts regulē pirmās kārtas kopējo finansējumu, šī robežvērtība (100 miljoni eiro) jau ir nodrošināta ar noteikumu nosacījumiem un nav nepieciešams to noteikt kā atsevišķu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iesakām attiecīgo piebildi saglabāt tikai noteikumu 46. punktā, kur tā saturiski iederas, tādējādi nodrošinot noteikumu loģiskāku un skaidrāku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Teličene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Projektu iesniegumu atlases pirmā kārta tiek izsludināta par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pieejamo attiecināmo finansējumu, kur katram plānošanas reģionam atbilstošajam projektam (Latgales, Vidzemes, Rīgas, Zemgales un Kurzemes) ir pieejams kopējais finansējums ne mazāks kā 1 465 558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1 245 724,3 </w:t>
            </w:r>
            <w:r w:rsidR="00000000" w:rsidRPr="00000000" w:rsidDel="00000000">
              <w:rPr>
                <w:i w:val="1"/>
                <w:rtl w:val="0"/>
              </w:rPr>
              <w:t xml:space="preserve">euro</w:t>
            </w:r>
            <w:r w:rsidR="00000000" w:rsidRPr="00000000" w:rsidDel="00000000">
              <w:rPr>
                <w:rtl w:val="0"/>
              </w:rPr>
              <w:t xml:space="preserve"> un privātais līdzfinansējums – ne mazāks kā 219 833,7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finansējuma saņēmējiem ir skaidri un precīzi atlases īstenošanas nosacījumi, lūdzam precizēt un salāgot ar noteikumu 11. un 12. punktu katram plānošanas reģionam (Latgales, Vidzemes, Rīgas, Zemgales un Kurzemes) atbilstoši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īstenošanas personāla atlīdzības izmaksas un izmaksas, kas radušās uz darba līguma pamata šo noteikumu </w:t>
            </w:r>
            <w:r w:rsidR="00000000" w:rsidRPr="00000000" w:rsidDel="00000000">
              <w:rPr>
                <w:rtl w:val="0"/>
              </w:rPr>
              <w:t xml:space="preserve">30. </w:t>
            </w:r>
            <w:r w:rsidR="00000000" w:rsidRPr="00000000" w:rsidDel="00000000">
              <w:rPr>
                <w:rtl w:val="0"/>
              </w:rPr>
              <w:t xml:space="preserve">punktā</w:t>
            </w:r>
            <w:r w:rsidR="00000000" w:rsidRPr="00000000" w:rsidDel="00000000">
              <w:rPr>
                <w:rtl w:val="0"/>
              </w:rPr>
              <w:t xml:space="preserve"> minēto darbu veikšanai, izņemot materiālu un iekārtu iegādi un būvuzraudzību.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Vadošās iestādes vadlīniju Nr. 1.2. "Vadlīnijas attiecināmo izmaksu noteikšanai Eiropas Savienības kohēzijas politikas programmas 2021.-2027.gada plānošanas periodā" 7.4. apakšpunktā noteikts, ka daļlaika gadījumā attiecināma ir ne mazāka kā 30 procentu noslodze, lūdzam papildināt noteikumu projekta 30.11. apakšpunktu ar šādu papildinājumu: ''Ja personāla iesaisti projektā nodrošina saskaņā ar daļlaika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projekta īstenošanai nepieciešamo preču un pakalpojumu iegādi veic saskaņā ar publisko iepirkumu reglamentējošajiem normatīvajiem aktiem, īstenojot atklātu, pārredzamu, nediskriminējošu un konkurenci nodrošinošu konkursa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40. punktu, attiecinot arī uz sadarbības partneri pienākumu par iepirkuma procedūras veikšanu projekta īstenošanai nepieciešamo preču un pakalpojumu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Par atbalsta piešķiršanas brīdi uzskata dienu, kad pieņemts atbalsta sniedzēja lēmums par projekta apstiprināšanu vai atzinums par nosacījumu izpildi atbilstoši regulas </w:t>
            </w:r>
            <w:r w:rsidR="00000000" w:rsidRPr="00000000" w:rsidDel="00000000">
              <w:rPr>
                <w:rtl w:val="0"/>
              </w:rPr>
              <w:t xml:space="preserve">Nr. 651/2014</w:t>
            </w:r>
            <w:r w:rsidR="00000000" w:rsidRPr="00000000" w:rsidDel="00000000">
              <w:rPr>
                <w:rtl w:val="0"/>
              </w:rPr>
              <w:t xml:space="preserve"> 2.panta 28.punktam. Lēmumu par atbalsta piešķiršanu pieņem līdz termiņam, kas noteikts regulas </w:t>
            </w:r>
            <w:r w:rsidR="00000000" w:rsidRPr="00000000" w:rsidDel="00000000">
              <w:rPr>
                <w:rtl w:val="0"/>
              </w:rPr>
              <w:t xml:space="preserve">regulas 615/2014</w:t>
            </w:r>
            <w:r w:rsidR="00000000" w:rsidRPr="00000000" w:rsidDel="00000000">
              <w:rPr>
                <w:rtl w:val="0"/>
              </w:rPr>
              <w:t xml:space="preserve"> 58.panta 4.punktā, ievērojot 59.pantu.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50. punkta pēdējo teikumu, nosakot, ka lēmumu par atbalsta piešķiršanu pieņem līdz termiņam, kas noteikts Komisijas 2014. gada 17. jūnija Regulas (ES) Nr. 651/2014, ar ko noteiktas atbalsta kategorijas atzīst par saderīgām ar iekšējo tirgu, piemērojot Līguma 107. un 108. pantu, 59. pantā, ievērojot 58.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noteikumu projekta 46., 47., 49., 50. un 53. punktā norādīt korektu regulas numuru, aizstājot skaitļus “615/2014” ar skaitļiem “651/2014”.[AR1]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[AR1]Aicinu šādi papildināt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saprotamu un precīzi definētu informācijas uztveri, lūdzam anotācijas sadaļā "Risinājuma apraksts" teikumu "Tādējādi galalietotājam jānodrošina iespēja abonēt elektronisko sakaru pakalpojumu 300 Mbit/s ne vēlāk kā mēneša laikā pēc tam, kad patērētājs paziņojis par šādu izvēli" papildināt ar formulējumu "ar lejupielādes ātrumu vismaz".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Teličene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un vienotu informāciju par ātrgaitas interneta pakalpojumu specifiku, lūdzam anotācijas sadaļā "Ietekmes apraksts" aizstāt formulējumu "augšuplādes ātrumu vismaz 300 Mb/s" ar "lejuplādes ātrumu vismaz 300 Mb/s". Šī izmaiņa atbilst arī sadaļā "Rezultāti" norādītajai informācijai, ka "Pasākuma īstenošanas rezultātā tiks izbūvēta VHCN elektronisko sakaru tīkla infrastruktūra, kas nodrošinās galalietotājiem vismaz 300 Mb/s lejuplādes ātrumu". Šāds precizējums veicinās vienotu un precīzu informācijas atspoguļojumu visās dokumenta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Teličene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iesniedzēji netiktu ierobežoti izvēlēties tikai lauku teritorijas un netiktu sniegta neatbilstoša informācija pasākuma ietvaros, lūdzam anotācijas sadaļā "Ietekmes apraksts" precizēt formulējumu "(..) 521 uzņēmumam lauku teritorijās tiks nodrošināta (..)", kas neatbilst pasākuma nosacījumiem, aizstājot to ar "teritorijās, kurās šobrīd nav pieejami platjoslas piekļuves pakalpojumi ar datu pārraides ātrumu vismaz 100 Mb/s (VHCN tīklu baltās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nepieciešams, jo "baltās adreses" ietver arī teritorijas ārpus lauku teritorijām, tostarp pat valstspilsētās. Tādējādi tiks nodrošināta atbilstoša un precīza informācija par pasākuma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Teličene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anotācijas 3.sadaļas "Tiesību akta projekta ietekme uz valsts budžetu un pašvaldību budžetiem" 6.punktā "Detalizēts ieņēmumu un izdevumu aprēķins (ja nepieciešams, detalizētu ieņēmumu un izdevumu aprēķinu var pievienot anotācijas (ex-ante) pielikumā)" jāizlabo pieejamais attiecināmais privātais finansējums uz 1 099 169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SM uzmanību uz to, ka sadaļā  "Cita informācija"  ir kļūdaini norādīta 33 intervences koda summa, jo izziņas 52.punktā tā ir 5 546 250 euro apmērā, tomēr, pat ņemot vērā augstākminēto summu, kopsumma sanāk 7 395 001 euro, kas par 1 euro nesakrīt ar pasākumam pieejamo Eiropas Reģionālās attīstības fonda finansējumu 7395 000 euro. Lūdzam veikt atbilstošu precizējumu.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norādot katras intervences kategorijas koda finansējuma apjomu pasākumu kārtu līmenī, lai nodrošinātu korektu un savlaicīgu datu ievadi Kohēzijas politikas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17.12.2024.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17.12.2024.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Atzinumi_24-TA-593.docx</dc:title>
</cp:coreProperties>
</file>

<file path=docProps/custom.xml><?xml version="1.0" encoding="utf-8"?>
<Properties xmlns="http://schemas.openxmlformats.org/officeDocument/2006/custom-properties" xmlns:vt="http://schemas.openxmlformats.org/officeDocument/2006/docPropsVTypes"/>
</file>