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 decembra noteikumos Nr. 685 "Prasības uztura bagātinātājiem"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Dienests apstrādā fiziskās personas datus – vārdu, uzvārdu, personas kodu, deklarētās dzīvesvietas adresi, faktisko adresi, tālruņa numuru, elektroniskā pasta adresi, lai identificētu uzņēmumu, reģistrētu uztura bagātinātāju, izdarītu izmaiņas reģistrā un sazinātos ar uzņēmumu. Ja uztura bagātinātāja reģistrācija ir atteikta, fiziskās personas datus pēc šo noteikumu 9. punktā minētā paziņojuma saņemšanas uzglabā piecus gadus. Ja uztura bagātinātājs ir reģistrēts, fiziskās personas datus uzglabā piecus gadus pēc uztura bagātinātāja svītrošanas no uztura bagātinātāja objektu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14. punkts paredz papildināt noteikumus ar 20.</w:t>
            </w:r>
            <w:r w:rsidR="00000000" w:rsidRPr="00000000" w:rsidDel="00000000">
              <w:rPr>
                <w:vertAlign w:val="superscript"/>
                <w:rtl w:val="0"/>
              </w:rPr>
              <w:t xml:space="preserve">1</w:t>
            </w:r>
            <w:r w:rsidR="00000000" w:rsidRPr="00000000" w:rsidDel="00000000">
              <w:rPr>
                <w:rtl w:val="0"/>
              </w:rPr>
              <w:t xml:space="preserve"> punktu un citastarp noteikt, ka, ja uztura bagātinātāja reģistrācija ir atteikta, fiziskās personas datus pēc šo noteikumu 9. punktā minētā paziņojuma saņemšanas uzglabā piecus gadus. Ja uztura bagātinātājs ir reģistrēts, fiziskās personas datus uzglabā piecus gadus pēc uztura bagātinātāja svītrošanas no uztura bagātinātāja objektu reģistra. Vienlaikus anotācijā nav skaidroti minētie fizisko personu datu glabāšanas termiņi.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pamatojoties uz Vispārīgās datu aizsardzības regulas 5. panta 1. punkta e) apakšpunktā ietverto glabāšanas ierobežojuma principu, lūdzam izvērtēt normā ietvertos personas datu glabāšanas termiņus un to samērīgumu ar apstrādes nolūkiem, kā arī anotācijā ietvert skaidrojumu par noteikto datu glabāšanas termiņu pamatotību.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Dienests apstrādā fiziskās personas datus – vārdu, uzvārdu, personas kodu, deklarētās dzīvesvietas adresi, faktisko adresi, tālruņa numuru, elektroniskā pasta adresi, lai identificētu uzņēmumu, reģistrētu uztura bagātinātāju, izdarītu izmaiņas reģistrā un sazinātos ar uzņēmumu. Ja uztura bagātinātāja reģistrācija ir atteikta, fiziskās personas datus pēc šo noteikumu 9. punktā minētā paziņojuma saņemšanas uzglabā piecus gadus. Ja uztura bagātinātājs ir reģistrēts, fiziskās personas datus uzglabā piecus gadus pēc uztura bagātinātāja svītrošanas no uztura bagātinātāja objektu reģistra.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 un 7. punkts paredz precizēt noteikumu 9.3. un 13.2. apakšpunktus, nosakot, ka paziņojumā jānorāda ziņas par paziņojuma iesniedzēju, ja tas ir nevis par uztura bagātinātāja informāciju atbildīgais pārtikas apritē iesaistītais uzņēmējs, bet uzņēmuma pilnvarotā persona. Savukārt noteikumu projekta 14. punkts paredz noteikumu 20.</w:t>
            </w:r>
            <w:r w:rsidR="00000000" w:rsidRPr="00000000" w:rsidDel="00000000">
              <w:rPr>
                <w:vertAlign w:val="superscript"/>
                <w:rtl w:val="0"/>
              </w:rPr>
              <w:t xml:space="preserve">1</w:t>
            </w:r>
            <w:r w:rsidR="00000000" w:rsidRPr="00000000" w:rsidDel="00000000">
              <w:rPr>
                <w:rtl w:val="0"/>
              </w:rPr>
              <w:t xml:space="preserve"> punktu nosakot, ka Dienests apstrādā fiziskās personas datus – vārdu, uzvārdu, personas kodu, deklarētās dzīvesvietas adresi, faktisko adresi, tālruņa numuru, elektroniskā pasta adresi, lai identificētu uzņēmumu, reģistrētu uztura bagātinātāju, izdarītu izmaiņas reģistrā un sazinātos ar uzņēmumu.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fizisko personu apstrāde tiks veikta ne vien attiecībā uz uzņēmumu, bet arī uz uzņēmuma pilnvaroto personu. Lai nodrošinātu normas skaidrību un atbilstību pārredzamības principam, ierosinām papildināt normas redakciju par to, ka tiks veikta arī uzņēmuma pilnvarotās personas datu 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23-TA-3244</w:t>
    </w:r>
    <w:r>
      <w:br/>
    </w:r>
    <w:r w:rsidR="00000000" w:rsidRPr="00000000" w:rsidDel="00000000">
      <w:rPr>
        <w:rtl w:val="0"/>
      </w:rPr>
      <w:t xml:space="preserve">Izdrukāts 10.11.2025. 12.34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23-TA-3244</w:t>
    </w:r>
    <w:r>
      <w:br/>
    </w:r>
    <w:r w:rsidR="00000000" w:rsidRPr="00000000" w:rsidDel="00000000">
      <w:rPr>
        <w:rtl w:val="0"/>
      </w:rPr>
      <w:t xml:space="preserve">Izdrukāts 10.11.2025. 12.34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Atzinumi_23-TA-3244.docx</dc:title>
</cp:coreProperties>
</file>

<file path=docProps/custom.xml><?xml version="1.0" encoding="utf-8"?>
<Properties xmlns="http://schemas.openxmlformats.org/officeDocument/2006/custom-properties" xmlns:vt="http://schemas.openxmlformats.org/officeDocument/2006/docPropsVTypes"/>
</file>