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25-TA-2702: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atļaujas izsniegšanu elektroenerģijas tiešās līnijas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projekta anotācijas 1.3. sadaļā "Risinājuma apraksts" iekļauto informāciju, paredzot, ka atļaujas turētājs </w:t>
            </w:r>
            <w:r w:rsidR="00000000" w:rsidRPr="00000000" w:rsidDel="00000000">
              <w:rPr>
                <w:u w:val="single"/>
                <w:rtl w:val="0"/>
              </w:rPr>
              <w:t xml:space="preserve">var lūgt atbildīgo iestādi pārreģistrēt atļauju </w:t>
            </w:r>
            <w:r w:rsidR="00000000" w:rsidRPr="00000000" w:rsidDel="00000000">
              <w:rPr>
                <w:rtl w:val="0"/>
              </w:rPr>
              <w:t xml:space="preserve">uz citu personu</w:t>
            </w:r>
            <w:r w:rsidR="00000000" w:rsidRPr="00000000" w:rsidDel="00000000">
              <w:rPr>
                <w:u w:val="single"/>
                <w:rtl w:val="0"/>
              </w:rPr>
              <w:t xml:space="preserve">,</w:t>
            </w:r>
            <w:r w:rsidR="00000000" w:rsidRPr="00000000" w:rsidDel="00000000">
              <w:rPr>
                <w:rtl w:val="0"/>
              </w:rPr>
              <w:t xml:space="preserve"> kas iecerējusi tiešās līnijas ierīkošanu, lai informācija atbilstu projekta 9.punktā iekļautajam regulējumam.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Lulberga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25-TA-2702</w:t>
    </w:r>
    <w:r>
      <w:br/>
    </w:r>
    <w:r w:rsidR="00000000" w:rsidRPr="00000000" w:rsidDel="00000000">
      <w:rPr>
        <w:rtl w:val="0"/>
      </w:rPr>
      <w:t xml:space="preserve">Izdrukāts 30.01.2026. 11.34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25-TA-2702</w:t>
    </w:r>
    <w:r>
      <w:br/>
    </w:r>
    <w:r w:rsidR="00000000" w:rsidRPr="00000000" w:rsidDel="00000000">
      <w:rPr>
        <w:rtl w:val="0"/>
      </w:rPr>
      <w:t xml:space="preserve">Izdrukāts 30.01.2026. 11.34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