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Bāriņtiesu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nepieciešams veikt grozījumus Bāriņtiesas likuma 11. panta 4. un 5. punktā. Grozījumi jāveic analogi 11. panta 2. punktā izdarītajiem grozījumiem, sašaurinot noziedzīgo nodarījumu loku, uz kuriem attiecināms ierobežojums.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Patrīcija Suseja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kurai piemērots administratīvais sods par kādu no </w:t>
            </w:r>
            <w:r w:rsidR="00000000" w:rsidRPr="00000000" w:rsidDel="00000000">
              <w:rPr>
                <w:rtl w:val="0"/>
              </w:rPr>
              <w:t xml:space="preserve">Bērnu tiesību aizsardzības likuma 72. panta</w:t>
            </w:r>
            <w:r w:rsidR="00000000" w:rsidRPr="00000000" w:rsidDel="00000000">
              <w:rPr>
                <w:rtl w:val="0"/>
              </w:rPr>
              <w:t xml:space="preserve"> sestajā daļā minētajiem administratīvajiem pārkāpumiem, izņemot, ja šā likuma </w:t>
            </w:r>
            <w:r w:rsidR="00000000" w:rsidRPr="00000000" w:rsidDel="00000000">
              <w:rPr>
                <w:rtl w:val="0"/>
              </w:rPr>
              <w:t xml:space="preserve">9. panta</w:t>
            </w:r>
            <w:r w:rsidR="00000000" w:rsidRPr="00000000" w:rsidDel="00000000">
              <w:rPr>
                <w:rtl w:val="0"/>
              </w:rPr>
              <w:t xml:space="preserve">  pirmajā daļā minētais subjekts, kas ir pieņēmis darbā attiecīgo bāriņtiesas priekšsēdētāju, bāriņtiesas priekšsēdētāja vietnieku vai bāriņtiesas locekli, ir izvērtējis, vai tas nekaitē bērnu un aizgādnībā esošo personu tiesību un interešu aizsardzībai, un atļāvis šai personai veikt darbu bāriņtiesas priekšsēdētāja, bāriņtiesas priekšsēdētāja vietnieka vai bāriņtiesas locekļa amatā. Šā likuma </w:t>
            </w:r>
            <w:r w:rsidR="00000000" w:rsidRPr="00000000" w:rsidDel="00000000">
              <w:rPr>
                <w:rtl w:val="0"/>
              </w:rPr>
              <w:t xml:space="preserve">9. panta</w:t>
            </w:r>
            <w:r w:rsidR="00000000" w:rsidRPr="00000000" w:rsidDel="00000000">
              <w:rPr>
                <w:rtl w:val="0"/>
              </w:rPr>
              <w:t xml:space="preserve"> pirmajā daļā minētais subjekts, kas ir pieņēmis darbā attiecīgo bāriņtiesas priekšsēdētāju, bāriņtiesas priekšsēdētāja vietnieku vai bāriņtiesas locekli, veicot minēto izvērtēšanu, ir tiesīgs apstrādāt personas datus, kas attiecas uz izdarīto administratīvo pārkāpumu, kā arī uz kompetentās institūcijas pieņemto lēmumu vai tiesas spriedumu;";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ministrijas 26.05.2025. atzinumā ietvertais iebildums nav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projektā paredzētie ierobežojumi, kas saistīti ar administratīvajiem pārkāpumiem, nav sistēmiski pamatoti vai neatbilst Administratīvās atbildības likumā noteiktajiem pamatprincipiem. Neskarot iepriekšējā atzinumā norādīto, lūdzam pārskatīt arī citus projektā ietvertus ierobežojumus. Piemēram, regulējums saistībā ar Bērnu tiesību aizsardzības likuma 81. pantā minēto pārkāpumu, citastarp, pieļauj, ka bāriņtiesas sastāvā var būt personas, kurām joprojām ir administratīvā sodāmība.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 Šā panta pirmās daļas 2., 3. un 4. punktā minētais aizliegums nav attiecināms, ja Bērnu aizsardzības centrs ir izvērtējis, vai tas nekaitē bērnu un aizgādnībā esošo personu tiesību un interešu aizsardzībai, un ir atļāvis šai personai strādāt bāriņtiesas priekšsēdētāja, bāriņtiesas priekšsēdētāja vietnieka vai bāriņtiesas locekļa amatā. Ja persona ir sodīta par noziedzīga nodarījuma izdarīšanu, Bērnu aizsardzības centrs personu var izvērtēt pēc tam, kad tai ir dzēsta vai noņemta sodāmība. Bērnu aizsardzības centrs, izvērtējot, vai atļauja šā panta pirmās daļas 2., 3. un 4. punktā minētajai personai strādāt bāriņtiesas priekšsēdētāja, bāriņtiesas priekšsēdētāja vietnieka vai bāriņtiesas locekļa amatā nekaitēs bērnu un aizgādnībā esošo personu tiesību un interešu aizsardzībai, ir tiesīgs apstrādāt personas datus, kas attiecas uz noziedzīgiem nodarījumiem, sodāmību krimināllietās, kā arī uz tiesas nolēmumu vai tiesas lietas materiāliem.</w:t>
            </w:r>
            <w:r w:rsidR="00000000" w:rsidRPr="00000000" w:rsidDel="00000000">
              <w:rPr>
                <w:rtl w:val="0"/>
              </w:rPr>
              <w:t xml:space="preserve">(3) Ministru kabinets nosaka kritērijus un kārtību, kādā tiek izvērtēts, vai šā panta otrajā daļā minētā atļauja personai strādāt bāriņtiesas priekšsēdētāja, bāriņtiesas priekšsēdētāja vietnieka vai bāriņtiesas locekļa amatā nekaitēs bērnu un aizgādnībā esošo personu tiesību un interešu aizsardzībai.”;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 26.05.2025. atzinumā bija norādījusi, ka Ministru kabinets nedrīkst noteikt kritērijus un kārtību, kādā tiek izvērtēts, vai projekta 7. pantā (pašreizējā redakcijā – 6. pantā) minētā atļauja personai strādāt bāriņtiesas priekšsēdētāja, bāriņtiesas priekšsēdētāja vietnieka vai bāriņtiesas locekļa amatā nekaitēs bērnu un aizgādnībā esošo personu tiesību un interešu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Likumdevējam ir jānoteic vadlīnijas vai skaidrojumus, kā pilnvarojumu īstenot. Turklāt, ja kritēriju un kārtības noteikšana ir saistīta ar soda sekām, tad Ministru kabinets šādus jautājumus vispār nedrīkstētu regulēt. Ar sodiem, to sekām saistītie jautājumi ir jāregulē likumdevējam.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Tam, ka spēkā esošajā regulējumā ir sastopamas līdzīgas tiesību normas, nav izšķirošas  nozīmes. Tāpat nav nozīmes tam, ka iepriekš izstrādājot normatīvos aktus, Ministru kabinetam tika uzdots noteikt ar sodiem, to noteikšanu un izpildi saistītus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pārvaldei ir pienākums pastāvīgi pārbaudīt un pilnveidot normatīvo regulējumu (sal. sk. Valsts pārvaldes iekārtas likuma 10. panta 10. daļu). Tāpat ir nepieciešams regulāri veikt spēkā esošo tiesību aktu ietekmes pēcpārbaudi, lai pārliecinātos, vai normatīvais regulējums joprojām ir nepieciešams, nerada nelabvēlīgas sekas, atbilst tā izstrādes mērķim, pašreizējai sociālajai un tiesiskajai situācijai (</w:t>
            </w:r>
            <w:r w:rsidR="00000000" w:rsidRPr="00000000" w:rsidDel="00000000">
              <w:rPr>
                <w:i w:val="1"/>
                <w:rtl w:val="0"/>
              </w:rPr>
              <w:t xml:space="preserve">Krūmiņa I. Kādi faktori kavē efektīvu tiesību aktu un rīcībpolitiku ex-post izvērtēšanu Latvijā? Pētījuma galaziņojums. Rīga: Latvijas Republikas Saeima, 2024, 2.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un precizēt panta trešajā daļā ietverto pilnvarojumu Ministru kabinetam. </w:t>
            </w:r>
            <w:r w:rsidR="00000000" w:rsidRPr="00000000" w:rsidDel="00000000">
              <w:rPr>
                <w:b w:val="1"/>
                <w:rtl w:val="0"/>
              </w:rPr>
              <w:t xml:space="preserve">Ar sodiem un to noteikšanu saistīts regulējums būtu iekļaujams projektā, nevis Ministru kabineta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 pieprasīt un bez maksas saņemt no valsts un pašvaldību iestādēm, komercsabiedrībām un organizācijām personas datus, īpašu kategoriju personas datus un personas datus par aktuālajām, dzēstām un noņemtām sodāmībām par jebkuru personu, ja šāda informācija ir nepieciešama bāriņtiesas likumā noteikto funkciju izpildei, lai izvērtētu bērna vai aizgādnībā esošās personas tiesību ievērošanas likumību un personai nepieciešamās spējas un īpašības normatīvajā regulējumā noteikto pienākumu pildīšanai, kā arī izlemtu bāriņtiesas kompetencē esošos jautājumus un veiktu nepieciešamās darbības, nodrošinot nacionālā normatīvā regulējuma un Latvijai saistošo starptautisko tiesību aktu un līgumu bērnu un aizgādnībā esošo personu tiesību aizsardzības jomā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projektā nav ietverts pilnvarojums Ministru kabinetam noteikt, kādus personas datu veidus Bāriņtiesai ir tiesības pieprasīt, lūdzam papildināt 16. panta 1.  punktu ar apstrādājamo datu apjomu. Personas datu apstrāde ir pamattiesību ierobežojums, kas ir pieļaujams tikai, ja ir ievēroti gan vispārējie pamattiesību ierobežošanas nosacījumi, gan Vispārīgās datu aizsardzības regulas  (turpmāk – Datu regula) prasības. Uzskatam, ka projektā noteiktā Bāriņtiesas vispārējā tiesība apstrādāt personas datus, it īpaši īpašo kategoriju datus, kas var atklāt datu subjekta rases vai etnisko piederību, politiskos uzskatus, reliģisko vai filozofisko pārliecību, kā arī citu informāciju,  nav pamatota, kā arī liedz iespēju datu subjektam pārredzēt kādā apjomā apstrādās tā personas datus. Bāriņtiesa jau šobrīd apstrādā personas datus un praksē apzinās kāda informācija ir nepieciešama leģitīmā mērķa sasniegšanai.  Tieslietu ministrija sniedz atbalstu 16.panta 1. punkta iepriekšējās redakcijas saglabāšanai, kas paredzēja detalizētāku vienību uzskaitījumu, saskaņā ar kurām Bāriņtiesai ir tiesības pieprasīt informāciju un pieprasāmo informāciju. Ja apstrādājamo datu apjoms ir noteikts citos normatīvajos aktos, lūdzam attiecīgi iekļaut šo skaidrojumu anotācijas 8.1.13. apakšsadaļā.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Izvērtējot personas atbilstību iecelšanai par aizbildni uz laiku, bāriņtiesa veic šā likuma </w:t>
            </w:r>
            <w:r w:rsidR="00000000" w:rsidRPr="00000000" w:rsidDel="00000000">
              <w:rPr>
                <w:rtl w:val="0"/>
              </w:rPr>
              <w:t xml:space="preserve">29. panta</w:t>
            </w:r>
            <w:r w:rsidR="00000000" w:rsidRPr="00000000" w:rsidDel="00000000">
              <w:rPr>
                <w:rtl w:val="0"/>
              </w:rPr>
              <w:t xml:space="preserve"> pirmajā daļā noteiktos pienākumus, kā arī:</w:t>
            </w:r>
            <w:r w:rsidR="00000000" w:rsidRPr="00000000" w:rsidDel="00000000">
              <w:rPr>
                <w:rtl w:val="0"/>
              </w:rPr>
              <w:t xml:space="preserve">1) pieprasa ziņas no Sodu reģistra par personas aktuālajām, dzēstām un noņemtām sodāmībām un tai piemērotajiem sodiem;</w:t>
            </w:r>
            <w:r w:rsidR="00000000" w:rsidRPr="00000000" w:rsidDel="00000000">
              <w:rPr>
                <w:rtl w:val="0"/>
              </w:rPr>
              <w:t xml:space="preserve">2) ņem vērā atzinumu par personas veselības stāvokli, ko sniedz ģimenes ārsts, kura veselības aprūpē persona atradusies vismaz sešus mēnešus, kā arī psihiatra un narkologa atzinumu, ja bāriņtiesas rīcībā ir informācija, kas var liecināt par iespējamiem personas psihiskiem traucējumiem vai alkohola, narkotisko, psihotropo vai toksisko vielu iespējamu atkarību.";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Atkārtoti norādām, ka projektā paredzēts pārāk plašs ziņu apjoms (par personas aktuālo un vēsturisko sodāmību un tai piemērotajiem sodiem), kādu var iegūt no Sodu reģistra.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rūpīgi izvērtēt, vai ir nepieciešama informācija par visām personas aktuālajām, dzēstām un noņemtām sodāmībām un tai piemērotajiem sodiem. Lūdzam pārskatīt no Sodu reģistra pieprasāmo ziņu apjomu un tvērumu.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 Bāriņtiesa aizgādņus izvēlas saskaņā ar </w:t>
            </w:r>
            <w:r w:rsidR="00000000" w:rsidRPr="00000000" w:rsidDel="00000000">
              <w:rPr>
                <w:rtl w:val="0"/>
              </w:rPr>
              <w:t xml:space="preserve">Civillikuma 355.</w:t>
            </w:r>
            <w:r w:rsidR="00000000" w:rsidRPr="00000000" w:rsidDel="00000000">
              <w:rPr>
                <w:rtl w:val="0"/>
              </w:rPr>
              <w:t xml:space="preserve"> un </w:t>
            </w:r>
            <w:r w:rsidR="00000000" w:rsidRPr="00000000" w:rsidDel="00000000">
              <w:rPr>
                <w:rtl w:val="0"/>
              </w:rPr>
              <w:t xml:space="preserve">661. pantu</w:t>
            </w:r>
            <w:r w:rsidR="00000000" w:rsidRPr="00000000" w:rsidDel="00000000">
              <w:rPr>
                <w:rtl w:val="0"/>
              </w:rPr>
              <w:t xml:space="preserve"> un, izvērtējot vai izraudzītajai personai ir nepieciešamās spējas un īpašības, tai skaitā:</w:t>
            </w:r>
            <w:r w:rsidR="00000000" w:rsidRPr="00000000" w:rsidDel="00000000">
              <w:rPr>
                <w:rtl w:val="0"/>
              </w:rPr>
              <w:t xml:space="preserve">1) noskaidro personas motivāciju kļūt par aizgādni;</w:t>
            </w:r>
            <w:r w:rsidR="00000000" w:rsidRPr="00000000" w:rsidDel="00000000">
              <w:rPr>
                <w:rtl w:val="0"/>
              </w:rPr>
              <w:t xml:space="preserve">2) izvērtē personas spējas pildīt aizgādņa pienākumus, ievērot aizgādnībā esošas personas tiesības un pārstāvēt tās intereses;</w:t>
            </w:r>
            <w:r w:rsidR="00000000" w:rsidRPr="00000000" w:rsidDel="00000000">
              <w:rPr>
                <w:rtl w:val="0"/>
              </w:rPr>
              <w:t xml:space="preserve">3) pieprasa ziņas no Sodu reģistra par personas aktuālajām, dzēstām un noņemtām sodāmībām un tai piemērotajiem sodiem,</w:t>
            </w:r>
            <w:r w:rsidR="00000000" w:rsidRPr="00000000" w:rsidDel="00000000">
              <w:rPr>
                <w:rtl w:val="0"/>
              </w:rPr>
              <w:t xml:space="preserve">4) ņem vērā atzinumu par personas veselības stāvokli, ko sniedz ģimenes ārsts, kura veselības aprūpē persona atradusies vismaz sešus mēnešus, kā arī psihiatra un narkologa atzinumu, ja bāriņtiesas rīcībā ir informācija, kas var liecināt par iespējamiem personas psihiskiem traucējumiem vai alkohola, narkotisko, psihotropo vai toksisko vielu iespējamu atkarību;</w:t>
            </w:r>
            <w:r w:rsidR="00000000" w:rsidRPr="00000000" w:rsidDel="00000000">
              <w:rPr>
                <w:rtl w:val="0"/>
              </w:rPr>
              <w:t xml:space="preserve">5) noskaidro aizgādnībā esošās personas viedokli par ieceļamo aizgādni.";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Atkārtoti lūdzam izvērtēt no Sodu reģistra pieprasāmo datu apjomu.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rūpīgi izvērtēt, vai ir nepieciešama informācija par visiem personai piemērotajiem aktuāliem un vēsturiskiem administratīvajiem sodiem, vai tikai par sodiem, kas ir saistīti ar bērnu tiesību pārkāpumiem. Piemēram, ja personai ir piemēroti sodi par stāvēšanu neatļautā vietā, nepļautu zāli vai patvaļīgu būvniecību, vai tie potenciāli var ietekmēt personas atbilstību iecelšanai par aizbildni izvērtējumu? Rosinām izvērtēt un norādīt vismaz laika periodu, par kuru tiek pieprasītas ziņas. Turklāt Administratīvās atbildības likuma 24. panta trešajā daļā ir noteikts, ka persona atzīstama par</w:t>
            </w:r>
            <w:r w:rsidR="00000000" w:rsidRPr="00000000" w:rsidDel="00000000">
              <w:rPr>
                <w:b w:val="1"/>
                <w:rtl w:val="0"/>
              </w:rPr>
              <w:t xml:space="preserve"> administratīvi nesodītu gadu</w:t>
            </w:r>
            <w:r w:rsidR="00000000" w:rsidRPr="00000000" w:rsidDel="00000000">
              <w:rPr>
                <w:rtl w:val="0"/>
              </w:rPr>
              <w:t xml:space="preserve"> pēc soda izpildes.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jaunu projekta grozījumu numerāciju, lūdzam precizēt anotācijas 8.1.13.apakšsadaļu.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17.07.2025. 21.27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17.07.2025. 21.27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Atzinumi_22-TA-3732.docx</dc:title>
</cp:coreProperties>
</file>

<file path=docProps/custom.xml><?xml version="1.0" encoding="utf-8"?>
<Properties xmlns="http://schemas.openxmlformats.org/officeDocument/2006/custom-properties" xmlns:vt="http://schemas.openxmlformats.org/officeDocument/2006/docPropsVTypes"/>
</file>