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9. maija noteikumos Nr. 253 "Atsevišķu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attiecas uz būvju iekšējiem inženiertīkliem, izņemot elektronisko sakaru komersantu iekšējiem elektronisko sakaru inženiertīkliem.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projekta "Grozījumi Ministru kabineta 2017. gada 9. maija noteikumos Nr. 253 "Atsevišķu inženierbūvju būvnoteikumi""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ir norādīts, ka nepieciešams papildināt Ministru kabineta 2017. gada 9. maija noteikumu Nr. 253 "Atsevišķu inženierbūvju būvnoteikumi" (turpmāk – noteikumi) 2. punktu, nosakot, ka šie noteikumi attiecas uz būvju iekšējiem inženiertīkliem, izņemot elektronisko sakaru komersantu iekšējiem elektronisko sakaru inženiertīkliem, bet nav pamatojuma šādam grozījumam, lūdzam papildināt anotācijas 1.3. apakšsadaļu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anotācijas 1.3. apakšsadaļā ietverto informāciju par to, ka noteikumu 2. punktā ir noteikts, uz kādām būvēm šie noteikumi attiecas, jo noteikumu 2.1. apakšpunktā ir noteikts, uz ko neattiecas noteikumi, bet noteikumu 2.2. apakšpunktā ir noteikts, uz ko attiecas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Grozījumi šo noteikumu 112., 118., 119., 119.</w:t>
            </w:r>
            <w:r w:rsidR="00000000" w:rsidRPr="00000000" w:rsidDel="00000000">
              <w:rPr>
                <w:vertAlign w:val="superscript"/>
                <w:rtl w:val="0"/>
              </w:rPr>
              <w:t xml:space="preserve">1</w:t>
            </w:r>
            <w:r w:rsidR="00000000" w:rsidRPr="00000000" w:rsidDel="00000000">
              <w:rPr>
                <w:rtl w:val="0"/>
              </w:rPr>
              <w:t xml:space="preserve">, 119.</w:t>
            </w:r>
            <w:r w:rsidR="00000000" w:rsidRPr="00000000" w:rsidDel="00000000">
              <w:rPr>
                <w:vertAlign w:val="superscript"/>
                <w:rtl w:val="0"/>
              </w:rPr>
              <w:t xml:space="preserve">2</w:t>
            </w:r>
            <w:r w:rsidR="00000000" w:rsidRPr="00000000" w:rsidDel="00000000">
              <w:rPr>
                <w:rtl w:val="0"/>
              </w:rPr>
              <w:t xml:space="preserve"> , 120. punktā un noteikumu  117.</w:t>
            </w:r>
            <w:r w:rsidR="00000000" w:rsidRPr="00000000" w:rsidDel="00000000">
              <w:rPr>
                <w:vertAlign w:val="superscript"/>
                <w:rtl w:val="0"/>
              </w:rPr>
              <w:t xml:space="preserve">1</w:t>
            </w:r>
            <w:r w:rsidR="00000000" w:rsidRPr="00000000" w:rsidDel="00000000">
              <w:rPr>
                <w:rtl w:val="0"/>
              </w:rPr>
              <w:t xml:space="preserve">, 117.</w:t>
            </w:r>
            <w:r w:rsidR="00000000" w:rsidRPr="00000000" w:rsidDel="00000000">
              <w:rPr>
                <w:vertAlign w:val="superscript"/>
                <w:rtl w:val="0"/>
              </w:rPr>
              <w:t xml:space="preserve">2</w:t>
            </w:r>
            <w:r w:rsidR="00000000" w:rsidRPr="00000000" w:rsidDel="00000000">
              <w:rPr>
                <w:rtl w:val="0"/>
              </w:rPr>
              <w:t xml:space="preserve"> punkts saistībā ar ikdienas darbu apstiprināšanu un kontroli, arī vienošanos par papildu veikto būvdarbu aktu sastādīšanu piemēro būvniecības procesiem, kuriem būvdarbu uzsākšanas nosacījumi ir izpildīti pēc 2026. gada 1. marta. Būvniecības procesa dalībnieki var vienoties par šo izmaiņu ātrāku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grozījumu noteikumu 118. punktā, bet projektā paredzētajā noteikumu 214. punktā ir ietverts pārejas noteikums attiecībā uz noteikumu 118. punktu. Vēršam uzmanību uz to, ka atbilstoši Oficiālās publikācijas un tiesiskās informācijas likuma 9. panta ceturtajā daļā noteiktajam </w:t>
            </w:r>
            <w:r w:rsidR="00000000" w:rsidRPr="00000000" w:rsidDel="00000000">
              <w:rPr>
                <w:u w:val="single"/>
                <w:rtl w:val="0"/>
              </w:rPr>
              <w:t xml:space="preserve">normatīvajam aktam vai tā daļai nav atpakaļejoša spēka, izņemot likumā īpaši paredzētus gadījumus</w:t>
            </w:r>
            <w:r w:rsidR="00000000" w:rsidRPr="00000000" w:rsidDel="00000000">
              <w:rPr>
                <w:rtl w:val="0"/>
              </w:rPr>
              <w:t xml:space="preserve">. Līdz ar to nepieciešams precizēt projektā paredzēto noteikumu 214.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uz to, ka noteikumu 119., 119.</w:t>
            </w:r>
            <w:r w:rsidR="00000000" w:rsidRPr="00000000" w:rsidDel="00000000">
              <w:rPr>
                <w:vertAlign w:val="superscript"/>
                <w:rtl w:val="0"/>
              </w:rPr>
              <w:t xml:space="preserve">1</w:t>
            </w:r>
            <w:r w:rsidR="00000000" w:rsidRPr="00000000" w:rsidDel="00000000">
              <w:rPr>
                <w:rtl w:val="0"/>
              </w:rPr>
              <w:t xml:space="preserve">, 119.</w:t>
            </w:r>
            <w:r w:rsidR="00000000" w:rsidRPr="00000000" w:rsidDel="00000000">
              <w:rPr>
                <w:vertAlign w:val="superscript"/>
                <w:rtl w:val="0"/>
              </w:rPr>
              <w:t xml:space="preserve">2</w:t>
            </w:r>
            <w:r w:rsidR="00000000" w:rsidRPr="00000000" w:rsidDel="00000000">
              <w:rPr>
                <w:rtl w:val="0"/>
              </w:rPr>
              <w:t xml:space="preserve"> un 120. punktā jau veikti grozījumi, tādēļ projektā paredzētajā noteikumu 214. punktā nepieciešams precizēt, kādi grozījumi noteikumu 119., 119.</w:t>
            </w:r>
            <w:r w:rsidR="00000000" w:rsidRPr="00000000" w:rsidDel="00000000">
              <w:rPr>
                <w:vertAlign w:val="superscript"/>
                <w:rtl w:val="0"/>
              </w:rPr>
              <w:t xml:space="preserve">1</w:t>
            </w:r>
            <w:r w:rsidR="00000000" w:rsidRPr="00000000" w:rsidDel="00000000">
              <w:rPr>
                <w:rtl w:val="0"/>
              </w:rPr>
              <w:t xml:space="preserve">, 119.</w:t>
            </w:r>
            <w:r w:rsidR="00000000" w:rsidRPr="00000000" w:rsidDel="00000000">
              <w:rPr>
                <w:vertAlign w:val="superscript"/>
                <w:rtl w:val="0"/>
              </w:rPr>
              <w:t xml:space="preserve">2</w:t>
            </w:r>
            <w:r w:rsidR="00000000" w:rsidRPr="00000000" w:rsidDel="00000000">
              <w:rPr>
                <w:rtl w:val="0"/>
              </w:rPr>
              <w:t xml:space="preserve"> un 120. punktā tiek minēti. Turklāt, piemēram, projektā paredzētajā noteikumu 117.</w:t>
            </w:r>
            <w:r w:rsidR="00000000" w:rsidRPr="00000000" w:rsidDel="00000000">
              <w:rPr>
                <w:vertAlign w:val="superscript"/>
                <w:rtl w:val="0"/>
              </w:rPr>
              <w:t xml:space="preserve">1</w:t>
            </w:r>
            <w:r w:rsidR="00000000" w:rsidRPr="00000000" w:rsidDel="00000000">
              <w:rPr>
                <w:rtl w:val="0"/>
              </w:rPr>
              <w:t xml:space="preserve"> punktā nav minēti ikdienas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214. punktā ietverto regulējumu un attiecīgi precizēt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24-TA-1283</w:t>
    </w:r>
    <w:r>
      <w:br/>
    </w:r>
    <w:r w:rsidR="00000000" w:rsidRPr="00000000" w:rsidDel="00000000">
      <w:rPr>
        <w:rtl w:val="0"/>
      </w:rPr>
      <w:t xml:space="preserve">Izdrukāts 19.08.2024.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24-TA-1283</w:t>
    </w:r>
    <w:r>
      <w:br/>
    </w:r>
    <w:r w:rsidR="00000000" w:rsidRPr="00000000" w:rsidDel="00000000">
      <w:rPr>
        <w:rtl w:val="0"/>
      </w:rPr>
      <w:t xml:space="preserve">Izdrukāts 19.08.2024.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Atzinumi_24-TA-1283.docx</dc:title>
</cp:coreProperties>
</file>

<file path=docProps/custom.xml><?xml version="1.0" encoding="utf-8"?>
<Properties xmlns="http://schemas.openxmlformats.org/officeDocument/2006/custom-properties" xmlns:vt="http://schemas.openxmlformats.org/officeDocument/2006/docPropsVTypes"/>
</file>