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24-TA-2574: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izglītības attīstības centra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izglītības attīstības centra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ministrijas izvēlētais iestāžu reorganizācijas risinājums ir netipisks, jo paredz divus posmus, tad Valsts kanceleja jautājumu par jaunās iestādes nosaukumu un tā maiņu analizēja padziļināti. Nav atbalstāma atkārtota iestādes nosaukuma maiņa īsā laika periodā, ņemot vērā, ka atkārtoti mainot iestādes nosaukumu: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veidojas lielākas administratīvās izmaksas ar iestādes identitāti saistīto dokumentu un vizuālās identitātes materiālu sagatavošanu;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radīts nevajadzīgs slogs ministrijas un iestādes darbiniekiem divu gadu laikā divas reizes veicot ar nosaukuma maiņu saistītus grozījumus gan ministrijas, gan iestādes iekšējos normatīvajos aktos;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radīts nevajadzīgs slogs ministrijas darbiniekiem divu gadu laikā divas reizes veicot grozījumus ārējos normatīvajos aktos, saistībā ar iestādes nosaukuma maiņu;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radīts nevajadzīgs slogs valsts pārvaldes iestādēm, kas piedalās starpinstitucionālās saskaņošanas procesā, kā arī Ministru kabinetam un Saeimai divas reizes divu gadu laikā veikt grozījumus normatīvajos aktos, saistībā ar iestādes nosaukuma maiņu;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bieža iestādes nosaukuma maiņa neveido labu priekšstatu par jauno iestādi tās esošajiem un potenciālajiem klientiem un sadarbības partneriem, tostarp ārvalstīs un ārvalstu institūcijām, kas uztur publiski pieejamas datu bāzes ar sadarbības partneru kontaktinformāciju.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iepriekšminētos apsvērumus, kas liecina, ka ministrija šajā jautājumā nevadās no labas pārvaldības principiem, īpaši attiecībā uz efektīvu un racionālu budžeta līdzekļu izmantošanu (kas tostarp attiecas uz darbinieku atalgojumu par laiku, kas tiek pavadīts pēc būtības lieku darbību veikšanai) aicinām ministriju jau šobrīd noteikt un sākt lietot iestādes jauno nosaukumu no reorganizācijas sākuma, tādā veidā nodrošinot, ka iestādes nosaukuma maiņa notiek tikai vienreiz.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Nodrošinot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funkciju un uzdevumu izpildi, centrs sadarbojas ar valsts pārvaldes iestādēm, Eiropas Savienības institūciju struktūrvienībām un amatpersonām, kā arī ar juridiskām un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šī punkta nepieciešamību, ņemot vērā, ka minētais ir pateikts arī noteikumu projekta 7.4. apakšpunktā. Tādējādi pēc būtības noteikumu 5. punktā un 7.4. apakšpunktā ietvertais regulējums 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Centru vada centra direktors. Centra direktors veic Valsts pārvaldes iekārtas likumā noteiktās tiešās pārvaldes iestādes vadītāja funkcijas. Centra direktoru ieceļ amatā un atbrīvo no amata izglītības un zinātnes ministrs </w:t>
            </w:r>
            <w:r w:rsidR="00000000" w:rsidRPr="00000000" w:rsidDel="00000000">
              <w:rPr>
                <w:rtl w:val="0"/>
              </w:rPr>
              <w:t xml:space="preserve">Valsts civildienesta likumā</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Valsts pārvaldes iekārtas likumam iekļaut atsauci uz tiesību aktu (likumi.lv), tas ir, atsauci uz tīmekļvietnē likumi.lv publicēto tiesību aktu.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24-TA-2574</w:t>
    </w:r>
    <w:r>
      <w:br/>
    </w:r>
    <w:r w:rsidR="00000000" w:rsidRPr="00000000" w:rsidDel="00000000">
      <w:rPr>
        <w:rtl w:val="0"/>
      </w:rPr>
      <w:t xml:space="preserve">Izdrukāts 09.12.2024. 18.11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24-TA-2574</w:t>
    </w:r>
    <w:r>
      <w:br/>
    </w:r>
    <w:r w:rsidR="00000000" w:rsidRPr="00000000" w:rsidDel="00000000">
      <w:rPr>
        <w:rtl w:val="0"/>
      </w:rPr>
      <w:t xml:space="preserve">Izdrukāts 09.12.2024. 18.11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Atzinumi_24-TA-2574.docx</dc:title>
</cp:coreProperties>
</file>

<file path=docProps/custom.xml><?xml version="1.0" encoding="utf-8"?>
<Properties xmlns="http://schemas.openxmlformats.org/officeDocument/2006/custom-properties" xmlns:vt="http://schemas.openxmlformats.org/officeDocument/2006/docPropsVTypes"/>
</file>