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izglītojamo īpatsvars, kuru turpmāko mācīšanās izvēli pēc pamatizglītības un vidējās izglītības ieguves ir ietekmējusi norišu apmeklēšanas pieredze, - vismaz 50 % no izglītojamo skaita pamata un vidējās izglītības pakāpē projektā iesaistītajās vispārējās un profesionālās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būtības izvērtēt administratīvo slogu, ko šāds regulējums uzliek izglītības iestādēm un izglītības sistēmai.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metodoloģisks atbalsts norišu izstrādei, pilnveidei un nodrošināšanai, un labās prakses izplatīšana;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norišu īstenošana paredzēta piesaistot ārējo kompetenci, kā arī metodiskā atbalsta sniegšana mācību satura jautājumos jau ir iekļauta kā pamatfunkcija, lūdzam izslēgt šo darbību no plānotajām un nodrošināt tās īstenošanai paredzēto finansējumu 17.4.darbības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programmas iznākuma rādītājs līdz 2029.gada 31.decembrim –  nacionāla, reģionāla vai vietēja mēroga valsts administrācijas vai sabiedrisko pakalpojumu iestāžu un pakalpojumu skaits, kas saņēmuši atbalstu, – 88 iestādes, tai skaitā līdz 2024. gada 31. decembrim - 88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plānotā rezultāta sasniegšanas iespējamību attiecībā uz 2024.gada 31.decembri.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izglītojamo īpatsvars, kuru vidusskolas starpdisciplinārā kursa "Projekta darbs" izvēli ir ietekmējusi norišu apmeklēšanas pieredze, - vismaz 30 % no izglītojamo skaita vidusskolas posmā projektā iesaistītajās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šāda rezultāta sasaistes iespējamību un pārraudzības mērķiem, īpaši ņemot vērā, ka projekta darbs pamatā tiek saistīts ar padziļināto kursu apguvi. Attiecīgi esošais dalījums jomās (STEM, pilsoniskā līdzdalība) nenodrošina pilnu pārklājumu konkrētā mācību kursa apguves ietvaros, līdz ar to nav izprotams, kāda ir šī rezultāta pievienotā vērtība.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administratīvo slogu, ko šāda rezultāta ieviešana uzliek skolām, uzkrājot datus par projekta darba sasaisti ar ESF finansējumu, šo datu uzkrāšanu ESF audita vajadzībām. Aicinām šo rezultāta priekšlikumu izslēgt no plānotās rezultātu kopas, koncentrējoties uz plašāku tvērumu, piemēram, nodrošinot, ka izglītojamo īpatsvars, kas apgūst matemātikas optimālo kursu, noteiktā apjomā saistāms ar mācību satura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16.10.2024.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16.10.2024.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