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2020. gada 21. janvāra noteikumos Nr. 41 "Noteikumi par integrētajā iekšlietu informācijas sistēmā iekļaujamām ziņām personas, mantas vai dokumenta atrašanās vietas vai cilvēka personības noskaidrošanai vai neatpazīta cilvēka līķa identificēšanai"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2020. gada 21. janvāra noteikumos Nr. 41 "Noteikumi par integrētajā iekšlietu informācijas sistēmā iekļaujamām ziņām personas, mantas vai dokumenta atrašanās vietas vai cilvēka personības noskaidrošanai vai neatpazīta cilvēka līķa identificēšanai" (Latvijas Vēstnesis, 2020, 16. nr.; 2022, 204.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izvērtēt noteikumu projekta virzības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 2026. gada 1. janvāri paredzētu Nodokļu un muitas policijas tiesības piekļūt integrētajā iekšlietu informācijas sistēmā iekļautajām ziņām atbilstoši Ministru kabineta 2020. gada 21. janvāra noteikumiem Nr. 41 "Noteikumi par integrētajā iekšlietu informācijas sistēmā iekļaujamām ziņām personas, mantas vai dokumenta atrašanās vietas vai cilvēka personības noskaidrošanai vai neatpazīta cilvēka līķa identificēšanai" (turpmāk – MK noteikumi Nr. 41), grozījumi MK noteikumos Nr. 41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Izstrādājot normatīvā tiesību akta projektu, ir jānošķir ar to saistītie būtiskie normatīvie akti no nebūtiskiem. Būtiski ir tādi saistīti grozījumi, bez kuriem nevar pilnvērtīgi sasniegt plānotā tiesību akta projekta mērķi. Savukārt nebūtiski ir tādi grozījumi, kas precizē vai saskaņo plānotos grozījumus ar citiem saistītajiem normatīvajiem aktiem, tomēr tiesību sistēmas juridiski korekta funkcionēšana ir iespējama arī bez šādiem grozījumiem. Nebūtiskie grozījumi citā normatīvajā aktā ir jāizdara tad, kad tajā tiks veikti citi grozījumi, kas rada kādas būtiskas izmaiņas tiesību sistēmā. Šāda kārtība ir nepieciešama, lai mazinātu normatīvo aktu grozīšanu (</w:t>
            </w:r>
            <w:r w:rsidR="00000000" w:rsidRPr="00000000" w:rsidDel="00000000">
              <w:rPr>
                <w:i w:val="1"/>
                <w:rtl w:val="0"/>
              </w:rPr>
              <w:t xml:space="preserve">Smiltēna A., Bloma I. Tiesību akta projekta ietekmes sākotnējā izvērtēšana. Metodiskie norādījumi/rokasgrāmata. Rīga: Valsts kanceleja, 2014, 48.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punkts noteic, ka normatīvā akta grozījumus sagatavo, ja normatīvo aktu nepieciešams grozīt pēc būtības. Redakcionālus precizējumus sagatavo vienlaikus ar normatīvā akta grozījumiem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šāds atsevišķs noteikumu projekts šobrīd nav nepieciešams. Nav atbalstāma MK noteikumu Nr.41 grozīšana tikai tāpēc, lai formāli izslēgtu no tajā minēto iestāžu uzskaitījuma Valsts ieņēmumu dienestu un iekļautu tajā Nodokļu un muitas policiju (</w:t>
            </w:r>
            <w:r w:rsidR="00000000" w:rsidRPr="00000000" w:rsidDel="00000000">
              <w:rPr>
                <w:i w:val="1"/>
                <w:rtl w:val="0"/>
              </w:rPr>
              <w:t xml:space="preserve">sk. arī Nodokļu un muitas policijas likuma pārejas noteikumu 2. punkta jēgu un mērķi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aicinām izvērtēt, vai Valsts ieņēmumu dienestam turpmāk nebūs nepieciešama piekļuve integrētajā iekšlietu informācijas sistēmā iekļautajām ziņām.  Anotācijā nav ietverts izvērtējums vai skaidrojums attiecībā uz to, ka Valsts ieņēmumu dienestam funkciju veikšanai turpmāk nebūs nepieciešamas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arī izvērtēt, vai MK noteikumu Nr. 41  21. punktā  vispār ir nepieciešams konkrēts iestāžu uzskaitījums.  Proti, ņemot  vērā, ka valsts pārvalde notiek nemitīgas izmaiņas, t. sk. iestādes tiek likvidētas, apvienotas u. tml., iesakām turpmāk neietvert MK noteikumos Nr. 41 konkrētu iestāžu uzskaitījumu, bet paredzēt, ka piekļuve integrētajā iekšlietu informācijas sistēmā iekļautajām ziņām ir piešķirama "iestādēm, kuru amatpersonas veic administratīvā pārkāpuma procesu"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25-TA-2496</w:t>
    </w:r>
    <w:r>
      <w:br/>
    </w:r>
    <w:r w:rsidR="00000000" w:rsidRPr="00000000" w:rsidDel="00000000">
      <w:rPr>
        <w:rtl w:val="0"/>
      </w:rPr>
      <w:t xml:space="preserve">Izdrukāts 03.12.2025.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25-TA-2496</w:t>
    </w:r>
    <w:r>
      <w:br/>
    </w:r>
    <w:r w:rsidR="00000000" w:rsidRPr="00000000" w:rsidDel="00000000">
      <w:rPr>
        <w:rtl w:val="0"/>
      </w:rPr>
      <w:t xml:space="preserve">Izdrukāts 03.12.2025.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Atzinumi_25-TA-2496.docx</dc:title>
</cp:coreProperties>
</file>

<file path=docProps/custom.xml><?xml version="1.0" encoding="utf-8"?>
<Properties xmlns="http://schemas.openxmlformats.org/officeDocument/2006/custom-properties" xmlns:vt="http://schemas.openxmlformats.org/officeDocument/2006/docPropsVTypes"/>
</file>