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Instrukcijas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finansējuma saņēmējs – sīkais (mikro), mazais, vidējais un lielais komersants, pašnodarbināta persona,  biedrības un nodibinājumi, valsts zinātniskā institūcija,  publiskas personas kapitālsabiedrības, kas ir projekta iesniedzējs un saņem, publisku finansējumu atbalsta pasākumu īstenošanai;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 lūdzam izvērtēt darba devēju loku, lai atbalstu varētu saņemt, piemēram, arī zemnieku saimniecības, kas nav komersanti.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Gelžina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