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317 "Ārstniecības personu un ārstniecības atbalsta personu reģistra izveides, papildināšanas un uzturēšanas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Reģistrā iekļauto informāciju inspekcija reizi mēnesī salīdzina ar Pilsonības un migrācijas lietu pārvaldes pārziņā esošu valsts informācijas sistēmu “Fizisko personu reģistrs” (pārbaudot informāciju par mirušajām un no Latvijas uz pastāvīgu dzīvi ārvalstīs izceļojušām ārstniecības personām un ārstniecības atbalsta personām – vārdu, uzvārdu, personas kodu, miršanas datumu vai izceļošanas faktu).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1.16.apakšpunktā ietvertajā Ministru kabineta 2016.gada 24.maija noteikumu Nr.317 “Ārstniecības personu un ārstniecības atbalsta personu reģistra izveides, papildināšanas un uzturēšanas kārtība” 43.punktā noteikts, ka reģistrā iekļauto informāciju inspekcija reizi mēnesī salīdzina ar Pilsonības un migrācijas lietu pārvaldes pārziņā esošu valsts informācijas sistēmu “Fizisko personu reģistrs” (pārbaudot informāciju par mirušajām un no Latvijas uz pastāvīgu dzīvi ārvalstīs izceļojušām ārstniecības personām un ārstniecības atbalsta personām – vārdu, uzvārdu, personas kodu, miršanas datumu vai </w:t>
            </w:r>
            <w:r w:rsidR="00000000" w:rsidRPr="00000000" w:rsidDel="00000000">
              <w:rPr>
                <w:u w:val="single"/>
                <w:rtl w:val="0"/>
              </w:rPr>
              <w:t xml:space="preserve">izceļošanas faktu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Pilsonības un migrācijas lietu pārvaldes pārziņā esošajā valsts informācijas sistēmā “Fizisko personu reģistrs” netiek uzkrātas ziņas par izceļošanas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Fizisko personu reģistra likuma 11.panta pirmajā daļā norādīto ziņu apjomu, kāds tiek uzkrāts valsts informācijas sistēmā “Fizisko personu reģistrs” par personu, precizēt projekta 1.16.apakšpunktā ietvertajā Ministru kabineta 2016.gada 24.maija noteikumu Nr.317 “Ārstniecības personu un ārstniecības atbalsta personu reģistra izveides, papildināšanas un uzturēšanas kārtība” 43.punktā norādīto no Pilsonības un migrācijas lietu pārvaldes pārziņā esošās valsts informācijas sistēmas “Fizisko personu reģistrs” saņemamo ziņu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14.11.2023. 19.54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14.11.2023. 19.54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Atzinumi_23-TA-1052.docx</dc:title>
</cp:coreProperties>
</file>

<file path=docProps/custom.xml><?xml version="1.0" encoding="utf-8"?>
<Properties xmlns="http://schemas.openxmlformats.org/officeDocument/2006/custom-properties" xmlns:vt="http://schemas.openxmlformats.org/officeDocument/2006/docPropsVTypes"/>
</file>