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(tehnisko palīglīdzekļu) apmaiņas sistēmu izglītības iestādēm”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1 740 000  euro (no tā elastības finansējums – 274 442 euro), tai skaitā Eiropas Reģionālās attīstības fonda finansējums 1 479 000 euro (no tā elastības finansējums – 233 276 euro) un valsts budžeta līdzfinansējums – ne mazāk kā 261 000 euro (no tā elastības finansējums – 41 166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5.punktā vārdus "ne mazāk kā" pirms noteiktā valsts budžeta līdzfinansējuma apmēra. Attiecīgi ir precizējama arī informācija anotācijas 5. un 15.lpp. (anotācijas 1.3.sadaļas "Risinājuma apraksts" un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izmaksas (izņemot virsstundas) šo noteikumu 18. punktā minēto atbalstāmo darbību īstenošanai, kas līdz atbildīgās iestādes izstrādātās un ar vadošo iestādi saskaņotās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vadības personāla izmaksas līdz atbildīgā iestāde izstrādās un ar vadošo iestādi saskaņos vienkāršoto izmaksu metodiku ir attiecināmas kā faktiskās izmaksas, lūdzam iekļaut ierobežojumu projekta vadības personāla izmaksām saskaņa ar vadošās iestādes vadlīniju Nr.1.2 ''Vadlīnijas attiecināmo izmaksu noteikšanai 2021.-2027.gada plānošanas periodā" 7.29. apakšpunktu -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10.lpp. otrās rindkopas pēdējo teikumu ar informāciju, ka arī sadarbības partneri ilgtspēju un rezultātu uzturēšanu vismaz piecus gadus pēc noslēguma maksājuma veikšanas nodrošina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8.lpp trešo rindkopu ar informāciju, ka Izglītības un zinātnes ministrijas izveidotā Uzraudzības padome savu darbību nodrošinās tajā iesaistīto institūciju un organizāciju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ministrijas budžetā nav plānots finansējums 4.2.1.2. pasākuma “Izveidot asistīvo tehnoloģiju (tehnisko palīglīdzekļu) apmaiņas sistēmu izglītības iestādēm” īstenošanai 2026. un 2027.gadā, lūdzam anotācijas 3.sadaļas 4. un 6.kolonnā norādītās finansiālās vērtības norādīt šīs sadaļas 5. un 7.kolonnās. Tāpat lūdzam korekti aizpildīt šīs sadaļas 5.punktu un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izglītības iestādes, kuras īsteno pirmsskolas izglītības programmas, vispārējās pamatizglītības programmas un speciālās pamatizglītības programmas (turpmāk –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3.2.apakšpunktu un 16.3.apakšpunktu ar nosacījumu, ka atbalstāmas ir iestādes, kas īsteno licencētas pirmsskolas izglītības programmas, lai nodrošinātu mērķtiecīgu investīciju ieguldīšanu, ņemot vērā, ka tiek paredzēts atbalsts arī privātām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sasniedzams šāds nacionālais rādītājs: līdz 2027. gada 31. decembrim ir izveidota asistīvo tehnoloģiju izglītības programmu apguvei apmaiņas sistēma izglītības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4.punktā noteikto nacionālā rādītāja termiņu, kā arī projekta īstenošanas termiņu noteikumu projekta 32.punktā ņemot vēra, ka 4.2.1.2.pasākuma ietvaros ir plānota asistīvo tehnoloģiju apmaiņas sistēmas izmēģinājumprojekta īstenošana izglītības iestādēs un izmēģinājumprojekta rezultātu izvērtēšana, t.sk. ņemot vērā, ka 2027.gada 31.decembris vairākumā izglītības iestāžu mācību gada 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plānoto darbību laika grafiku, kādā plānots ieviest 4.2.1.2.pasākumu, t.sk. norādot, ko plānots darīt ar iegādāto asistīvo tehnoloģiju pēc 2027.gada 31.decembra.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Reģionālās attīstības fonda finansējumu pasākuma ietvaros piešķir granta veidā. Projekta iesnieguma minimālais kopējo attiecināmo izmaksu apmērs nav mazāks kā 200 000 euro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10.punkta otro teikumu, ņemot vēra, ka plānots viens projekts par visu pasākumam pieejamo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šajos noteikumos un projektu iesniegumu atlases nolikumā noteiktajām prasībām un uzaicinājumā noteiktajā termiņā iesniedz to sadarbības iestādē, izmantojot Kohēzijas politikas fondu vadības informācijas sistēmas elektronisko vidi. Projekta iesniedzējs kārtas ietvaros iesniedz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un anotācijā nav norādīts, ka pasākumu īsteno vairākās atlases kārtās, lūdzam izvērtēt, vai nav nepieciešams precizēt noteikumu projekta 15.punktu, kā arī pēc nepieciešamības citus punktus noteikumu projektā un norādīto informāciju anotācijā, nenorādot, ka projekta iesniedzējs projekta iesniegumu iesniedz </w:t>
            </w:r>
            <w:r w:rsidR="00000000" w:rsidRPr="00000000" w:rsidDel="00000000">
              <w:rPr>
                <w:u w:val="single"/>
                <w:rtl w:val="0"/>
              </w:rPr>
              <w:t xml:space="preserve">kārtas ietvaros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šajos noteikumos un projektu iesniegumu atlases nolikumā noteiktajām prasībām un uzaicinājumā noteiktajā termiņā iesniedz to sadarbības iestādē, izmantojot Kohēzijas politikas fondu vadības informācijas sistēmas elektronisko vidi. Projekta iesniedzējs iesniedz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projektu īsteno kopīgi ar šādiem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atbalstāmo darbību un secīgi izmaksu izsekojamību un attiecināmību, lūdzam noteikumu projekta 16.punkta apakšpunktos norādīt, kuru atbalstāmo darbību īstenošanā tiek iesaistīti konkrētie sadarbības partneri, t.sk. skaidri norādot Izglītības un zinātnes ministrijas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maksājumu veikšanas kārtība šo noteikumu 18. punktā minēto atbalstāmo darbību īstenošanai un tiešo un netiešo attiecināmo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kuriem (vai visiem) sadarbības partneriem attiecas nosacījums par maksājumu veikšanas kārtību attiecas. No noteikumu projekta 20.punkta izriet, ka attiecināmās izmaksas ir paredzētas tikai noteikumu projekta 16.4.apakšpunktā minētajam sadarbības partnerim (Izglītības un zinātnes ministrijai). Lūdzam izvērtēt, vai šādā gadījumā, kad sadarbības partneris ir tiešās pārvaldes institūcijas ir nepieciešama atsevišķa maksājumu veikšanas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ir attiecināmas šādas finansējuma saņēmējam plānotas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plānotas izmaksas gan finansējuma saņēmējam, gan sadarbības partneriem, tad lūdzam noteikumu projekta 19.punktu izteikt šādā redakcijā “Pasākuma ietvaros ir attiecināmas šādas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finansējuma saņēmēja un šo noteikumu 16.4. punktā minēto sadarbības partneru šo noteikumu 18. punktā minēto atbalstāmo darbību īstenošanai projekta īstenošanas personāla izmaksas (izņemot virsstundas), kas līdz atbildīgās iestādes izstrādātās un ar vadošo iestādi saskaņotās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16.4.apakšpunktā minēts viens sadarbības partneris, lūdzam precizēt noteikumu projekta 20.1.2.apakšpunkta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pārējās projekta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neatbilstību riskus un tiktu nodrošināti nepārprotami nosacījumi gan projekta iesniedzējam, gan sadarbības partneriem par projekta īstenošanas izmaksām, lūdzam pārējās projekta īstenošanas izmaksas precizēt, norādot, kuras no noteikumu projekta 20.2.apakšpunktā uzskaitītajām īstenošanas izmaksām attiecināmas finansējuma saņēmējam, kuras noteikumu projekta 16.punktā minētajiem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asistīvo tehnoloģiju iegādes izmaksas un nomas izmaksas, t.sk. speciālo programmatūru un citu asistīvo līdzekļu izglītības programmu apguvei iegādes un abonēšanas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18.3.apakšpunktā minētās atbalstāmās darbības, lūdzam papildināt noteikumu projekta 20.2.4.apakšpunktu ar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finansējuma saņēmēja jaunradītu darba vietu aprīkojuma, tai skaitā biroja mēbeļu un tehnikas, datorprogrammu un licences iegādes vai nomas izmaksas, aprīkojuma uzturēšanas un remonta izmaksas, ne vairāk kā 3 000 euro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 Ja projekta vadības vai īstenošanas personāls ir nodarbināts daļlaiku, tiek ņemts vērā darbinieka iesaistes periods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vārdu savienojuma "aprīkojuma uzturēšanas un remonta izmaksas'' papildināt ar vārdu savienojumu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finansējuma saņēmēja darba braucienu izmaksas saskaņā ar normatīvajiem aktiem par kārtību, kādā atlīdzināmi ar komandējumiem un darbinieku darba braucieniem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Vadošās iestādes 02.04.2024. metodikas Nr.4.2. “Vienas vienības izmaksu standarta likmes aprēķina un piemērošanas metodika iekšzemes komandējumu izmaksām darbības programmas “Izaugsme un nodarbinātība” un Eiropas Savienības kohēzijas politikas programmas 2021.-2027.gadam īstenošanai” 2.punktu vienas vienības izmaksas ir piemērojamas arī darba braucieniem, tāpēc lūdzam dzēst noteikumu projekta 20.2.7.apakšpunktu un papildināt noteikumu projekta 20.2.8.apakšpunktu ar darba braucienu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finansējuma saņēmēja darba braucienu izmaksas saskaņā ar normatīvajiem aktiem par kārtību, kādā atlīdzināmi ar komandējumiem un darbinieku darba braucieniem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darba braucienos ietilpst arī ārvalstu komandējumi. Vēršam uzmanību, ka ārvalstu komandējumu gadījumā saskaņā ar vadošās iestādes vadlīniju Nr. 1.2. ''Vadlīnijas attiecināmo izmaksu noteikšanai 2021.-2027.gada plānošanas periodā" 62. zemsvītras atsauci, izmaksas attiecināmas tikai projekta vadītājam un projekta īstenošanas personālam.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finansējuma saņēmēja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un transportlīdzekļu nomas un transporta pakalpojuma pirkšanas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Vadošās iestādes izstrādātajā metodikā “Vienas vienības izmaksu standarta likmes aprēķina un piemērošanas metodika 1 km izmaksām darbības programmas “Izaugsme un nodarbinātība” un Eiropas Savienības kohēzijas politikas programmas 2021.–2027.gadam  īstenošanai” noteiktās vienas vienības izmaksu likmes ir piemērojamas projektos, kuros vietējā transporta izmaksas, t.sk. degvielas izmaksas, ir noteiktas kā attiecināmās izmaksas, attiecīgi aicinām precizēt noteikumu projekta 20.2.9.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vietējā transporta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un transportlīdzekļu nomas un transporta pakalpojuma pirkšanas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19.2. apakšpunktā minētās netiešās attiecināmās izmaksas plāno kā vienu izmaksu pozīciju, piemērojot netiešo izmaksu vienoto likmi 15 procentu apmērā no šo noteikumu 20.1. apakšpunktā minētajām tiešajām attiecināmajām projekta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personāla izmaksas līdz vienkāršoto izmaksu metodikas saskaņošanai paredzētas kā faktiskās izmaksas, lūdzam MK noteikumu projekta 21.punkta beigas papildināt ar nosacījumu "kas radušās uz darba līguma vai rīkojuma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19.2. apakšpunktā minētās netiešās attiecināmās izmaksas plāno kā vienu izmaksu pozīciju, piemērojot netiešo izmaksu vienoto likmi 15 procentu apmērā no šo noteikumu 20.1. apakšpunktā minētajām tiešajām attiecināmajām projekta personāla izmaksām, </w:t>
            </w:r>
            <w:r w:rsidR="00000000" w:rsidRPr="00000000" w:rsidDel="00000000">
              <w:rPr>
                <w:u w:val="single"/>
                <w:rtl w:val="0"/>
              </w:rPr>
              <w:t xml:space="preserve">kas radušās uz darba līguma vai rīkojuma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kas tiešā veidā saistīts ar projektu, uzskatāms par attiecināmām izmaksām saskaņā ar regulas Nr. 2021/1060) 64. panta 1. punkta “c” apakšpunktā ietvertajiem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projekta 23. punktā svītrot norādi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w:t>
            </w:r>
            <w:r w:rsidR="00000000" w:rsidRPr="00000000" w:rsidDel="00000000">
              <w:rPr>
                <w:u w:val="single"/>
                <w:rtl w:val="0"/>
              </w:rPr>
              <w:t xml:space="preserve">darbībām (t.i. projektiem), 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w:t>
            </w:r>
            <w:r w:rsidR="00000000" w:rsidRPr="00000000" w:rsidDel="00000000">
              <w:rPr>
                <w:u w:val="single"/>
                <w:rtl w:val="0"/>
              </w:rPr>
              <w:t xml:space="preserve">darbībām (t.i. projektiem), kuru kopējās izmaksas ir vismaz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projektos, kur tiek sniegts komercdarbības atbalsts, neatkarīgi no projekta kopējo izmaksu apmēra pievienotās vērtības nodokļa izmaksas ir attiecināmas gadījumos, kad tas nav atgūstams saskaņā ar pievienotās vērtības nodokli reglamentējošiem valsts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kas tiešā veidā saistīts ar projektu, uzskatāms par attiecināmām izmaksām saskaņā ar regulas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finansējuma saņēmējam izmaksas ir attiecināmas no Ministru kabineta noteikumu spēkā stāšanās. Tādu darbību izmaksas, kas pabeigtas pirms projekta iesnieguma iesniegšanas sadarbības iestādei, nav attiecināmas.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25.punktu ar izmaksu attiecināmības nosacījumiem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Ministru kabineta protokollēmuma projektu ar informāciju par finanšu plūsmu pirms projekta apstiprināšanas, kā arī atbildīgās iestādes pienākumiem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noteikumu projekta 18.6.apakšpunktu.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26.8.apakšpunktu, jo tas saturiski dublē 26.5.apakšpunkta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ieguldījumi plānoti publiskās pārvaldes īpašumā esošajos digitālajos risinājumos, t.sk. finansējuma saņēmēja īpašumā atradīsies pirmkodi, intelektuālā īpašuma tiesības, t.sk. risinājuma modificēšanas tiesības, lai novērstu gadījumus, kad tiek kropļota konkurence, veicot publiskus ieguldījumus kāda konkrēta komersanta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anotācijā norādītos intervences kodus ar ES kohēzijas politikas programmas 2021-2027 pielikumos norādītajiem intervences laukumiem.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kā tiks nodrošināta demarkācija ne tikai asistīvo tehnoloģiju līmenī ("projekta ietvaros netiks iegādātas asistīvās tehnoloģijas, kurām tiek nodrošināts finansējums no citu finansēšanas avotiem"), bet arī personu līmenī - lai viena persona nesaņem vienu un to pašu līdzekli no dažādiem finanšu avotiem. Lūdzam paredzēt atbilstošus pārbaudes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apsvērt papildināt anotāciju ar informāciju, kas norāda papildināmību ar AF plānoto 3.1.2.6.i. investīciju "Tehnisko palīglīdzekļu pieejamības sekmēšana".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svītrot informāciju, ka nacionālā rādītāja uzraudzību veic atbildīgā iestāde, ņemot vēra, ka ES fondu vadošās iestādes vadlīniju "Nr. 1.4. Vadlīnijas Ministru kabineta noteikumu par specifiskā atbalsta mērķa īstenošanu izstrādei Eiropas Savienības fondu 2021.—2027. gada plānošanas periodā" 5.punktā noteikts, ka gadījumā, ja pasākumam/kārtai nevar piemērot ES Kohēzijas politikas programmas 2021.-2027.gadam (turpmāk – Programma) SAM līmenī noteikto rādītāju, tad Ministru Kabineta noteikumos nosaka atbilstošu nacionālo rādītāju, kura uzraudzību nodrošina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svītrot teikumu “Tika plānots nodrošināt asistīvo tehnoloģiju (tehnisko palīglīdzekļu) apmaiņu izglītības iestāžu izglītojamiem, kā arī sagatavot priekšlikumus asistīvo tehnoloģiju (tehnisko palīglīdzekļu) apmaiņas sistēmas pilnveidošanai.” ņemot vērā, ka Ministru kabineta 2015. gada 20. oktobra noteikumi Nr. 601 “Darbības programmas "Izaugsme un nodarbinātība" 9.1.4. specifiskā atbalsta mērķa "Palielināt diskriminācijas riskiem pakļauto iedzīvotāju integrāciju sabiedrībā un darba tirgū" 9.1.4.2. pasākuma "Funkcionēšanas novērtēšanas sistēmas izveide un ieviešana un asistīvo tehnoloģiju (tehnisko palīglīdzekļu) pieejamības un pielietojuma Latvijas izglītības iestādēs izpēte" īstenošanas noteikumi” neparedz šādas darbības vai skaidrot kāda pasākuma/finansējuma ietvaros tika plānots īstenot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norādīts, ka projekta īstenošanai, izvērtējot esošo cilvēkresursu kapacitāti, var tikt veidota jauna štata vieta, lūdzam izvērtēt nepieciešamību noteikumu projektu saskaņot arī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sekretāru 2023. gada 30. marta sanāksmes protokola Nr. 12 4. § 1., 2. un 3. 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Tiesību aktu projekti, kuru turpmākai ieviešanai būs nepieciešama papildu pastāvīgu amata vietu izveide vai arī tie paredz ar nodarbināto atlīdzību saistītus jautājumus, obligāti saskaņojami ar Valsts kanceleju (Valsts pārvaldes politikas departamentu).</w:t>
            </w:r>
            <w:r w:rsidR="00000000" w:rsidRPr="00000000" w:rsidDel="00000000">
              <w:rPr>
                <w:i w:val="1"/>
                <w:rtl w:val="0"/>
              </w:rPr>
              <w:t xml:space="preserve">2. Veidojot jaunu pastāvīgu amata vietu (projekta ieviešanai vai arī pēc projekta rezultātu uzturēšanai), informācija par to norādāma Ministru kabineta sēdes protokollēmumā kā atsevišķs punkts.</w:t>
            </w:r>
            <w:r w:rsidR="00000000" w:rsidRPr="00000000" w:rsidDel="00000000">
              <w:rPr>
                <w:i w:val="1"/>
                <w:rtl w:val="0"/>
              </w:rPr>
              <w:t xml:space="preserve">3. Lai nodrošinātu sekmīgu projektu (t.sk. Eiropas Savienības kohēzijas politikas programmas 2021.–2027. gadam, Eiropas Savienības Atveseļošanas un noturības mehānisma plāna u.c. ) ieviešanu, ministrijas un padotības iestādes var veidot projektu ieviešanai nepieciešamās amata vietas uz noteiktu laiku. Minētajā gadījumā papildu saskaņojums ar Valsts kanceleju (Valsts pārvaldes politikas departamentu)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finansējuma saņēmējs un sadarbības partneri nodrošinās komunikācijas un vizuālās identitātes prasības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2021.–2027.gada plānošanas periodā, </w:t>
            </w:r>
            <w:r w:rsidR="00000000" w:rsidRPr="00000000" w:rsidDel="00000000">
              <w:rPr>
                <w:u w:val="single"/>
                <w:rtl w:val="0"/>
              </w:rPr>
              <w:t xml:space="preserve">kā arī ievēros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informācijas ir secināms, ka noteikumu projekta 16.1., 16.2. un 16.3.apakšpunktā norādītie sadarbības partneri netiks norādīti projekta iesniegumā un sadarbības līgumi ar tiem tiks slēgti projekta īstenošanas laikā. Ņemot vērā minēto, lūdzam papildināt anotāciju un nepieciešamības gadījumā arī noteikumu projektu ar informāciju par to, kā sadarbības līgumu slēgšanai tiks izvēlēti 16.1., 16.2. un 16.3.punktā norādītie sadarbības partneri. Lūdzam anotācijā skaidrot, kā attiecībā uz šiem partneriem tiks veikta Eiropas Savienības fondu 2021.—2027. gada plānošanas perioda vadības likumā noteikto izslēgšanas nosacījumu pārbaude, kā arī to projekta iesnieguma vērtēšanas kritēriju pārbaude, kuros tiek vērtēta sadarbības partneru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2.1.sadaļā "Ietekmes apraksts" norādīt, ka Izglītības un zinātnes ministrija pildīs atbildīgās iestādes funkcijas un Valsts izglītības satura centrs un tā saistību un funkciju pārņēmējs pildīs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6.1.apakšsadaļā norādītās iestādes nosaukumu, aizstājot vārdu “attīstības” ar vārdu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6.4.apakšsadaļā norādīto atsauci uz Ministru kabineta 2023. gada 20. aprīļa rīkojuma Nr. 200 “Par Valdības rīcības plānu Deklarācijas par Artura Krišjāņa Kariņa vadītā Ministru kabineta iecerēto darbību īstenošanai”. Vēršam uzmanību, ka minētais rīkojums ir zaudējis spēku un nav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Pieņiemt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1.punktu, aizstājot tajā vārdu “Pieņiemt” ar vārdu “Pieņemt”.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24-TA-3307</w:t>
    </w:r>
    <w:r>
      <w:br/>
    </w:r>
    <w:r w:rsidR="00000000" w:rsidRPr="00000000" w:rsidDel="00000000">
      <w:rPr>
        <w:rtl w:val="0"/>
      </w:rPr>
      <w:t xml:space="preserve">Izdrukāts 13.01.2025.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24-TA-3307</w:t>
    </w:r>
    <w:r>
      <w:br/>
    </w:r>
    <w:r w:rsidR="00000000" w:rsidRPr="00000000" w:rsidDel="00000000">
      <w:rPr>
        <w:rtl w:val="0"/>
      </w:rPr>
      <w:t xml:space="preserve">Izdrukāts 13.01.2025.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Atzinumi_24-TA-3307.docx</dc:title>
</cp:coreProperties>
</file>

<file path=docProps/custom.xml><?xml version="1.0" encoding="utf-8"?>
<Properties xmlns="http://schemas.openxmlformats.org/officeDocument/2006/custom-properties" xmlns:vt="http://schemas.openxmlformats.org/officeDocument/2006/docPropsVTypes"/>
</file>