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29. oktobra noteikumos Nr. 1191 "Kārtība, kādā publiska persona nomā nekustamo īpašumu no privātpersonas vai kapitālsabiedrības un publicē informāciju par nomātajiem un nomāt paredzētajiem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15.08.2025.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15.08.2025.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Atzinumi_25-TA-1065.docx</dc:title>
</cp:coreProperties>
</file>

<file path=docProps/custom.xml><?xml version="1.0" encoding="utf-8"?>
<Properties xmlns="http://schemas.openxmlformats.org/officeDocument/2006/custom-properties" xmlns:vt="http://schemas.openxmlformats.org/officeDocument/2006/docPropsVTypes"/>
</file>