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Emisijas kvotu izsolīšanas instrumenta finansēto projektu atklāta konkursa “Sabiedrības izpratnes veicināšana par klimatneitralitātes un klimatnoturības nozīmi un iespējām”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šo noteikumu </w:t>
            </w:r>
            <w:r w:rsidR="00000000" w:rsidRPr="00000000" w:rsidDel="00000000">
              <w:rPr>
                <w:rtl w:val="0"/>
              </w:rPr>
              <w:t xml:space="preserve">6.1. </w:t>
            </w:r>
            <w:r w:rsidR="00000000" w:rsidRPr="00000000" w:rsidDel="00000000">
              <w:rPr>
                <w:rtl w:val="0"/>
              </w:rPr>
              <w:t xml:space="preserve">apakšpunktā</w:t>
            </w:r>
            <w:r w:rsidR="00000000" w:rsidRPr="00000000" w:rsidDel="00000000">
              <w:rPr>
                <w:rtl w:val="0"/>
              </w:rPr>
              <w:t xml:space="preserve"> minētajā aktivitātē: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Ministru kabineta noteikumu projekta 6.1. apakšpunktā minēto pasākumu aktivitāšu īstenošanu un kvalitatīvāku kampaņas izveidi, lūdzam papildināt ar jaunu projekta iesniedzēju veidu, iekļaujot arī pašvaldību kapitālsabiedrības, attiecīgi precizējot noteikumu projekta 9.1. un 9.2. apakšpunktus. Vēršam uzmanību, ka pašvaldības līdzšinējā pieredze un prakse liecina, ka pašvaldības dažādu nozaru struktūrvienības, piemēram, kā SIA “Rīgas meži”, AS “Rīgas Siltums” vai SIA “Getliņi”, spēj sagatavot kampaņas atbilstošajās sfērās, tajā skaitā aptverot plašu auditoriju. Savukārt biedrības un nodibinājumus, kas piesakās dažādu informatīvo kampaņu veidošanai, bieži nespēj sagatavot kvalitatīvu saturu un nodrošināt atbilstošu kapacitāti informācijas kampaņai.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pašvaldības ieskatā uzņēmumu iesaiste nodrošina ne tikai kvalitatīvu satura radīšanu, bet arī atbilstošu kapacitāti un zināšanas informācijas kampaņu veidošanai, kuras kapitālsabiedrības nereti jau īsteno. Lokālajā līmenī svarīga būtu iespēja sabiedrības informēšanas kampaņās startēt pašvaldībai (kā virsvadītājai) kopā ar kapitālsabiedrībām, kas pārsvarā katra atbild par savu atbilstošo tēmu.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Katrīne Luīze Štolca (LLPA) (Jānis Cunskis (LLPA)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22-TA-1792</w:t>
    </w:r>
    <w:r>
      <w:br/>
    </w:r>
    <w:r w:rsidR="00000000" w:rsidRPr="00000000" w:rsidDel="00000000">
      <w:rPr>
        <w:rtl w:val="0"/>
      </w:rPr>
      <w:t xml:space="preserve">Izdrukāts 29.12.2023. 22.15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22-TA-1792</w:t>
    </w:r>
    <w:r>
      <w:br/>
    </w:r>
    <w:r w:rsidR="00000000" w:rsidRPr="00000000" w:rsidDel="00000000">
      <w:rPr>
        <w:rtl w:val="0"/>
      </w:rPr>
      <w:t xml:space="preserve">Izdrukāts 29.12.2023. 22.15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Atzinumi_22-TA-1792.docx</dc:title>
</cp:coreProperties>
</file>

<file path=docProps/custom.xml><?xml version="1.0" encoding="utf-8"?>
<Properties xmlns="http://schemas.openxmlformats.org/officeDocument/2006/custom-properties" xmlns:vt="http://schemas.openxmlformats.org/officeDocument/2006/docPropsVTypes"/>
</file>