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otrā daļa nosaka, ka Valsts sabiedrība ar ierobežotu atbildību "Latvijas Vides, ģeoloģijas un meteoroloģijas centrs" pārstāv Latvijas Republiku Pasaules Meteoroloģijas organizācijā un nodrošina Latvijas klimata analīzi, aktuālās klimatiskās standarta normas un references perioda aprēķinu, klimata pārmaiņu tendenču nozīmīguma novērtējumu, vēsturisko un ikdienas hidrometeoroloģisko ekstrēmu monitoringu, analīzi un modelēšanu, klimata pārmaiņu nākotnes scenāriju sagatavošanu un nacionālā klimata pārmaiņu un klimata pārmaiņu ietekmju monitoringa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ietverts, ka likumprojekta 9. panta otrā daļa noteic, ka valsts sabiedrība ar ierobežotu atbildību "Latvijas Vides, ģeoloģijas un meteoroloģijas centrs" (turpmāk – LVĢMC):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klimatisko datu vākšanu, uzglabāšanu, analīzi un klimatiskās normas aprēķināšanu, kā arī klimata pārmaiņu monitoringa datu bāzes uzturēšanu, aktualizēšanu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sadarbojoties ar EM, ZM, VM, SM, FM, IM, Labklājības ministriju, Kultūras ministriju, IZM, VARAM, Tieslietu ministriju un iestādēm un atvasinātām publiskām personām, nodrošina klimata pārmaiņu ietekmju datu vākšanu, uzglabāšanu, analīzi un klimata pārmaiņu ietekmju monitoringa datu bāzes un bīstamu definētu hidrometeoroloģisko parādību monitoringa un uz ietekmi vērstas brīdināšanas sistēmas uzturēšanu, aktualizēšanu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hidrometeoroloģisko apstākļu modelēšanu un klimata pārmaiņu prognožu sagatavošanu, kā arī nodrošina prognožu periodisku aktualizēšanu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9.panta otrās daļas teksts saskaņojams ar likumprojekta 9.panta otrās daļas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nosaka, ka attiecībā uz valsts kapitālsabiedrībām kapitāla daļu turētājam reizi piecos gados ir jāveic līdzdalības pārvērtēšana. Pēdējo reizi līdzdalība sabiedrībā ar ierobežotu atbildību "Vides investīciju fonds" un valsts sabiedrībā ar ierobežotu atbildību "Latvijas Vides, ģeoloģijas un meteoroloģijas centrs" pārvērtēta 2016.gadā. Līdzdalības izvērtējumā ietver arī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šīm kapitālsabiedrībām nav izstrādāta īpašnieka gaidu vēstule, ne arī ir aktuāla vidēja termiņa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būtu jānorāda, kāds ir pamats, ka, neskatoties uz to, ka līdzdalība nav pārvērtēta un nav arī izstrādāti citi dokumenti kā gaidu vēstule vai stratēģija, minētās kapitālsabiedrības tiek iekļautas likumprojektā kā atbilstošākā forma minēto uzdevumu veikšanai, vai norādīt, kad līdzdalības izvērtējums 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kanceleja atzinīgi vērtē iniciatīvu veikt tiesību akta ex-post novērtējumu, ņemot vērā tā nozīmīgo ietekmi uz ilgtspējīgu ekonomisko izaugsmi un cilvēku labklājību, rosinām pārskatīt plānotos rezultātus un rādītājus, pēc kā tiks vērtēta tiesību akta (vai kādas tā daļas) mērķa sasniegšana. Šobrīd definētie rezultāti un rādītāji ir nekonkrēti un nerada priekšstatu par sagaidāmo tiesību akta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tiesību aktu ex-post novērtējumu veikšanā liecina, ka kvalitatīva ex-post ietekmes novērtējuma veikšanā izšķiroši svarīgi, lai jau ex-ante novērtējumā iespēju robežās ir skaidri definēts vēlamais sasniedzamais rezultāts un rādītāji, kas to apliecina. Būtībā ex-ante novērtējums kalpo kā sākotnējais atskaites punkts ex-post novērtējumam, pret ko pārbaudīt, vai plānotā tiesību akta ietekme un mērķi ir sasniegti. Ex-ante novērtējumam jāsniedz prognozes par tiesību akta potenciālo ietekmi, gaidāmajām izmaiņām, atbildot uz jautājumu: “ Kas notiks, ja tiks pieņemts tiesību akts?”. Savukārt ex-post novērtējumam jāsniedz atbilde uz jautājumu: “Kā tiesību akts ietekmēja situāciju?”, salīdzinot prognozēto tiesību akta ietekmi un sekas ar faktisko situāciju. Lai varētu veikt šādu izvērtējumu, jau sākotnēji ir jāspēj identificēt rādītājus, pēc kā tiks vērtēta tiesību akta sagaidāmā ietekme. Vienlaikus ir jānodrošina šo rādītāju datu regulāra uzkrāšana un monitorēšana, lai spētu konstatēt reālās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satur informācijas sniegšanas pienākumus,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nepieciešams izvērtēt likumprojekta 6. panta ceturtajā daļā, 14. panta piektās daļas 4. apakšpunktā, 17. panta ceturtajā daļā noteiktos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saskaņā ar Klimata un enerģētikas ministrijas nolikumu koordinē un pārrauga klimata politikas īstenošanu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(2) daļa nosaka, ka KEM: “saskaņā ar Klimata un enerģētikas ministrijas nolikumu koordinē un pārrauga klimata politikas īstenošanu </w:t>
            </w:r>
            <w:r w:rsidR="00000000" w:rsidRPr="00000000" w:rsidDel="00000000">
              <w:rPr>
                <w:u w:val="single"/>
                <w:rtl w:val="0"/>
              </w:rPr>
              <w:t xml:space="preserve">šajā</w:t>
            </w:r>
            <w:r w:rsidR="00000000" w:rsidRPr="00000000" w:rsidDel="00000000">
              <w:rPr>
                <w:u w:val="single"/>
                <w:rtl w:val="0"/>
              </w:rPr>
              <w:t xml:space="preserve"> likumā noteiktajā kārtībā</w:t>
            </w:r>
            <w:r w:rsidR="00000000" w:rsidRPr="00000000" w:rsidDel="00000000">
              <w:rPr>
                <w:rtl w:val="0"/>
              </w:rPr>
              <w:t xml:space="preserve">”. Taču likumprojektā nav noteikta kārtība, kā KEM būtu jākoordinē un jāpārrauga klimata politikas īstenošana. Lūdzam precizēt, atstājot norādi tikai uz KEM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precizēt redakciju, teikuma sākumā lietojot korektu gramatisko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un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oglekļa dioksīda piesaistes mērķus 2021.–2025. gadam, 2026.–2029. gadam un 2030. gadam zemes izmantošanas, zemes izmantošanas maiņas un mežsaimniecības sektorā nosaka un izpilda, pamatojoties uz šā likuma pielikuma II un III daļā definētajām uzskaites un ziņošanas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 un (4) daļā minēta mērķu noteikšana 2021.–2025. gadam. Lūdzam izvērtēt, vai ir korekti ar likumprojektu regulēt  tādu mērķu noteikšanu, kuriem faktiski jau jābūt izpildītiem, jo likumprojekts tiks apstiprināts 2025.gadā.  Apstiprinot likumā mērķus pagātnei, nozarēm tiek uzlikti pienākumi ar “atpakaļejošu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pirmajā daļā minētajiem sektoriem mērķi 2030. gadam tiek izteikti procentos pret 2005. gada konkrētā sektora emisiju apjomu un kopā ar finansējuma avotiem sektorālo mērķu sasniegšanai tiek noteikti Nacionālajā enerģētikas un klimata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4.panta (3) daļā minētā politika ir domāta KEM izstrādātā politika (piemēram NEKP), vai konkrētu nozaru politikas (kas tiek noteiktas nozaru politikas plānošanas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otrajā daļā minētajam sektoram mērķi 2021.–2025. gadam, 2026.–2029. gadam un 2030. gadam tiek izteikti atbilstoši regulai 2018/841 un kopā ar finansējuma avotiem to sasniegšanai tiek noteikti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4.panta (4) daļā minētā politika ir domāta KEM izstrādātā politika (piemēram NEKP), vai konkrētu nozaru politikas (kas tiek noteiktas nozaru politikas plānošanas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(5) daļa esošājā redakcijā paredz, ka nozaru ministrijas, izstrādājot savu nozaru politikas, tajās paredz tādu rīcībpolitiku un pasākumu īstenošanu, kas tiešā vai netiešā veidā nodrošina siltumnīcefekta gāzu emisiju samazināšanas un oglekļa dioksīda piesaistes sektorālo mērķu izpildi. Tādā gadījumā regulējums daļēji dublē 2.panta (3) daļu, kas nosaka “Ministrijas integrē klimata politikas mērķus savos politikas plānošanas dokumentos”, ar to atšķirību, ka 2.panta (3) daļa attiecas uz visām ministrijām, bet 4.panta (5) daļa uz 6 ministrijām (KEM, EM, FM, SM, VARAM,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4.panta panta (6) daļa precizē, ka (5) daļā minētā “rīcībpolitika”un “pasākumi” ir tikai tā nozaru politiku daļa, kas tiek ietverta NEKP. Lūdzam skaidrot, un, ja nepieciešams precizēt, jo esošajā likumprojekta redakcijā nav skaidrs, vai likumprojekts uzliek par pienākumu visām ministrijām iestrādāt konkrētus klimata politikas mērķus (tai skaitā - SEG emisiju samazināšanas un CO2 piesaistes pasākumus) savas nozares politikās (un attiecīgi – nozares politikas plānošanas dokumentos) vai tikai konkrētām ministrijām piedalīties NEKP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ministrijas varētu izpildīt 6.panta (5) daļā noteikto pienākumu, proti -  nodrošināt finansējumu gada emisijas sadales vienību un piesaistes vienību iegādei, ja tiek konstatēta siltumnīcefekta gāzu emisiju samazināšanas un oglekļa dioksīda piesaistes sektorālo mērķu neizpilde. Vēršam uzmanību, ka par papildus finansējuma piešķiršanu ikgadējā budžeta sagatavošanas procesā lemj Ministru kabinets un Saeima, attiecīgi katra konkrēta ministrija nevar nodrošināt to, ka papildus finansējums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Attīstības plānošanas sistēmas likuma 6.panta (1) daļa nosaka, ka  izšķir šādus attīstības plānošanas dokumentu veidus: politikas plānošanas dokumenti, institūciju vadības dokumenti un teritorijas attīstības plānošanas dokumenti. Savukārt 9.panta (6) daļa nosaka, ka starptautiski ierosinātos attīstības plānošanas dokumentus iekļauj nacionālo plānošanas dokumentu hierarhijā, izvēloties atbilstošāko attīstības plānošanas dokumenta veidu. Lūdzam precīzi norādīt dokumenta veidu, kas  ir paredzēts likumprojekta 7.panta (1) daļā “</w:t>
            </w:r>
            <w:r w:rsidR="00000000" w:rsidRPr="00000000" w:rsidDel="00000000">
              <w:rPr>
                <w:i w:val="1"/>
                <w:rtl w:val="0"/>
              </w:rPr>
              <w:t xml:space="preserve">nacionālais pielāgošanās klimata pārmaiņām ilgtermiņa attīstības plānošanas dokuments 10 gadu perspektīvā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ministriju nolikumiem, tās ir vadošā valsts pārvaldes iestādes nozarēs (vai jomās). Lūdzam precizēt, kas ir likumprojekta 8.panta (1) daļā minētie “</w:t>
            </w:r>
            <w:r w:rsidR="00000000" w:rsidRPr="00000000" w:rsidDel="00000000">
              <w:rPr>
                <w:i w:val="1"/>
                <w:rtl w:val="0"/>
              </w:rPr>
              <w:t xml:space="preserve">sektori</w:t>
            </w:r>
            <w:r w:rsidR="00000000" w:rsidRPr="00000000" w:rsidDel="00000000">
              <w:rPr>
                <w:rtl w:val="0"/>
              </w:rPr>
              <w:t xml:space="preserve">” attiecībā uz katru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 klimata fonda mērķi sasniedz ar Latvijas sociālā klimata plāna pasākumiem un investīcijām, kas vērsti uz mazaizsargātu mājsaimniecību, mazaizsargātu mikrouzņēmumu un mazaizsargātu transporta lietotāju Eiropas Parlamenta un Padomes 2023. gada 10. maija Regulas (ES) Nr. 2023/955, ar ko izveido Sociālo klimata fondu un groza Regulu (ES) 2021/1060 (turpmāk - regula 2023/955) 2. panta 10., 11. un 12. punkta izpratnē atbalstīšanu, un ar kuriem plānots paaugstināt ēku energoefektivitāti, veikt ēku siltumapgādes un aukstumapgādes sistēmu dekarbonizāciju, paplašināt bezemisiju un mazemisiju mobilitātes un transporta pieejamību, kā arī sniegt pagaidu tiešu ieņēmumu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"mazaizsargāts" aizvietot ar terminoloģiju, kura izmantota Sociālo pakalpojumu un sociālās palīdzības likumā un Ministru kabineta noteikumos Nr. 299 "Noteikumi par mājsaimniecības atzīšanu par trūcīgu vai maznodrošinātu un sociālās palīdzības sniegšanas kārtību" (maznodrošināts, trūcīgs) vai arī definēt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Dublē a)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7. panta pirmajā daļā minēto attīstības plānošanas dokumentu Ministru kabinets pirmo reizi apstiprina līdz 2031.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Pārejas noteikumu 6.punkta nepieciešamību, kas norāda attīstības plānošanas dokumenta sagatavošanas konkrētu termiņu, proti ka likumprojekta  "</w:t>
            </w:r>
            <w:r w:rsidR="00000000" w:rsidRPr="00000000" w:rsidDel="00000000">
              <w:rPr>
                <w:i w:val="1"/>
                <w:rtl w:val="0"/>
              </w:rPr>
              <w:t xml:space="preserve">7. panta pirmajā daļā minēto attīstības plānošanas dokumentu Ministru kabinets pirmo reizi apstiprina līdz 2031. gada 1. janvārim</w:t>
            </w:r>
            <w:r w:rsidR="00000000" w:rsidRPr="00000000" w:rsidDel="00000000">
              <w:rPr>
                <w:rtl w:val="0"/>
              </w:rPr>
              <w:t xml:space="preserve">". Vēršam uzmanību, ka šobrīd attīstības plānošanas sistēmā tiek plānota reforma saistībā ar sniegumā balstīta budžeta plānošanas ieviešanu un nepieciešamību vienkāršot un efektivizēt sistēmu kopumā. Līdz ar to prognozējams, ka valsts ilgtermiņa un vidēja termiņa attīstības plānošanas dokumentiem  būs jābūt izstrādātiem līdz 2028.gadam, proti līdz nākošajam plānošanas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"Risinājuma apraksts" minēts, ka “</w:t>
            </w:r>
            <w:r w:rsidR="00000000" w:rsidRPr="00000000" w:rsidDel="00000000">
              <w:rPr>
                <w:i w:val="1"/>
                <w:rtl w:val="0"/>
              </w:rPr>
              <w:t xml:space="preserve">4. panta piektā daļa paredz, ka nozaru ministrijas izstrādājot nozaru politiku, ņem vērā ES Klimata likumu”</w:t>
            </w:r>
            <w:r w:rsidR="00000000" w:rsidRPr="00000000" w:rsidDel="00000000">
              <w:rPr>
                <w:rtl w:val="0"/>
              </w:rPr>
              <w:t xml:space="preserve">. Lūdzam precizēt, jo 4.panta (5) daļa nepiemin ES Klimata likumu, bet nosaka pienākumu nozaru ministrijām, izstrādājot nozaru politiku,  izstrādāt un īstenot rīcībpolitiku un pasākumus, kas tiešā vai netiešā veidā nodrošina siltumnīcefekta gāzu emisiju samazināšanas un oglekļa dioksīda piesaistes sektorālo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anotācijas apakšsadaļas "Pašreizējā situācija" un "Problēmas apraksts", lai tās būtu vismaz nedaudz atšķirīgas no Klimata likuma (21-TA-62) anotācijas identiskajām apakšsadaļām, ņemot vērā, ka jaunais likumprojekts liek akcentu uz "ekonomisko ilgtspēju" un likumprojekta 2.panta (1) daļa definē mērķi "</w:t>
            </w:r>
            <w:r w:rsidR="00000000" w:rsidRPr="00000000" w:rsidDel="00000000">
              <w:rPr>
                <w:i w:val="1"/>
                <w:rtl w:val="0"/>
              </w:rPr>
              <w:t xml:space="preserve">Likuma mērķis ir </w:t>
            </w:r>
            <w:r w:rsidR="00000000" w:rsidRPr="00000000" w:rsidDel="00000000">
              <w:rPr>
                <w:b w:val="1"/>
                <w:i w:val="1"/>
                <w:rtl w:val="0"/>
              </w:rPr>
              <w:t xml:space="preserve">veicināt valsts ekonomikas ilgtspēju, sekmējot konkurētspēju</w:t>
            </w:r>
            <w:r w:rsidR="00000000" w:rsidRPr="00000000" w:rsidDel="00000000">
              <w:rPr>
                <w:i w:val="1"/>
                <w:rtl w:val="0"/>
              </w:rPr>
              <w:t xml:space="preserve"> un valsts virzību uz klimata pārmaiņu ierobežošanu un klimatnoturību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apakšsadaļā "Rādītājs"ietverto informāciju, proti nebūs jēgpilni mērīt to kā "</w:t>
            </w:r>
            <w:r w:rsidR="00000000" w:rsidRPr="00000000" w:rsidDel="00000000">
              <w:rPr>
                <w:i w:val="1"/>
                <w:rtl w:val="0"/>
              </w:rPr>
              <w:t xml:space="preserve">atrisinātas likumprojekta ex-ante novērtējumā identificētās problēmas</w:t>
            </w:r>
            <w:r w:rsidR="00000000" w:rsidRPr="00000000" w:rsidDel="00000000">
              <w:rPr>
                <w:rtl w:val="0"/>
              </w:rPr>
              <w:t xml:space="preserve">", jo ex-ante identificētās problēmas ir (a) klimata jomas regulējuma sadrumstalotība un (b) tas, ka likumā "Par piesārņojumu" ietvertais regulējums rada grūtības tā piemērošanā, jo normas ir attiecināmas uz dažādu subjektu loku, līdz ar to rodas dažādas interpretācijas un pārpratumu iespējas, kā arī nav pilnībā skaidrs spēkā esošā likuma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viens ne otrs punkts nav objektīvi mērāmi un neatspoguļo likumprojekta mērķu sasniegšanu un ieviešanas veiksmi.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šis projekts skar plašu sabiedrību un komersantus, taču netiek veikta sabiedrības līdzdalība, lūdzam precīzāk norādīt, kur ir pieejami sabiedrības līdzdalības rezultāti, proti, kādi sabiedrības pārstāvji ir pauduši un kādus viedokļus, piemēram, ietverot saiti uz konkrēto TA lietu TAP portāla publiskajā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07.05.2025.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07.05.2025.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