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pārbaudītu, vai uz projekta iesniedzēju vai personu, kura ir projekta iesniedzēja valdes vai padomes loceklis vai prokūrists, vai personu, kura ir pilnvarota pārstāvēt projekta iesniedzēju, nav attiecināms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minētais nosacījums, Vides investīciju fonds informāciju iegūst no Iekšlietu digitālā centra pārziņā esošās valsts informācijas sistēmas "Sodu reģistrs" un Eiropas Sodāmības reģistru informācijas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likuma 17. panta otro daļu, ja personām vai iestādēm, kurām ir tiesības saņemt ziņas no Sodu reģistra, nepieciešamas ziņas par Eiropas Savienības dalībvalsts valstspiederīgā aktuālo sodāmību Eiropas Savienības dalībvalstī, kā arī par trešās valsts valstspiederīgā aktuālo sodāmību Eiropas Savienības dalībvalstī, attiecīgās ziņas no Eiropas Savienības dalībvalsts centrālās iestādes pieprasa Iekšlietu digitālais centrs. Savukārt no projekta 14. punktā ietvertā noteikumu 11.¹ punkta un projekta anotācijas var secināt, ka Vides investīciju fonds ziņas par ārvalstīs izdarītiem noziedzīgiem nodarījumiem iegūst tieši no Eiropas Sodāmības reģistru informācijas sistēmas (ECRIS).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10. punktā ietvertais noteikumu 11.2. apakšpunkts paredz pārbaudīt sodāmību par ārvalstī izdarītiem noziedzīgiem nodarījumiem. Tomēr ECRIS nenodrošina ziņas par personas sodāmību ārpus Eiropas Savienības, tādēļ nav skaidrs, kā minētais nosacījums tiks pārbaudīts, ja attiecīgās ziņas ECRIS nav pieejamas. Vienlaikus projekta 1. pielikumā iekļautajā noteikumu 1.¹ pielikumā nav paredzēts norādīt visas noteikumu 11.2. apakšpunktā minētās pārbaudāmās personas un ziņu pieprasīšanai nepieciešamos šo personu identifikācijas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15. punktā ietvertais noteikumu 11.² punkts paredz nodrošināt noteikumu 11. punktā minēto prasību izpildi visā projekta īstenošanas laikā. Taču nav skaidrs, vai un kādos gadījumos projekta īstenošanas laikā atkārtoti pārbaudāms noteikumu 11.2. apakšpunktā noteiktais sodāmības nosacījums un kā Vides investīciju fonds iegūs informāciju par pārbaudāmo personu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attiecīgi precizēt projektu, projekta 1. pielikumu un projekta anotāciju, skaidri nosakot, ka informācijas apmaiņa ar citu Eiropas Savienības dalībvalstu centrālajām iestādēm notiek ar Iekšlietu digitālā centra starpniecību, kā arī nosakot rīcību gadījumos, kad ziņas par sodāmību ārvalstīs nav pieejamas ECRIS (piemēram, attiecībā uz ziņu iegūšanu no trešajām valstīm), pārbaudāmo personu identificēšanai nepieciešamo datu apjomu un iegūšanas kārtību, sodāmības pārbaudes veikšanas brīdi un atkārtotas pārbaudes nosacījumus, kā arī projekta iesniedzēja pienākumu informēt par pārbaudāmo personu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27.08.2026. 19.57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27.08.2026. 19.57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