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maternitātes un slimības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maternitātes un slimības apdrošināšanu" (Latvijas Republikas Saeimas un Ministru Kabineta Ziņotājs, 1996, 1., 4. nr.; 1998, 15. nr.; 2001, 1. nr.; 2002, 22. nr.; 2003, 2., 23. nr.; 2004, 5. nr.; 2005, 2. nr.; 2007, 24. nr.; 2009, 2., 15. nr.; Latvijas Vēstnesis, 2009, 200. nr.; 2010, 201. nr.; 2011, 99., 202. nr.; 2012, 192. nr.; 2013, 191., 228. nr.; 2014, 225. nr.; 2015, 56., 248. nr.; 2016, 241., 255. nr.; 2017, 231. nr.; 2019, 123., 255.A nr.; 2020, 57.B, 67.B, 93.B, 221.A, 230.A, 240.A, 244. nr.; 2021, 215.A nr.; 2022, 10.A, 120., 187., 209 nr.; 2024, 248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10.6 panta trešo daļu: "Vecāku pabalsta saņēmējam, kurš bērna kopšanas laikā ir nodarbināts un neatrodas bērna kopšanas atvaļinājumā vai bērna kopšanas laikā gūst ienākumus kā pašnodarbinātais, pabalstu izmaksā 50 procentu apmērā no pabalsta, kas piešķirts atbilstoši šā panta otrās daļas nosacījumiem "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Vecāku pabalsta saņēmējam, kurš bērna kopšanas laikā ir nodarbināts un neatrodas bērna kopšanas atvaļinājumā vai bērna kopšanas laikā gūst ienākumus kā pašnodarbinātais, pabalstu izmaksā 75 procentu apmērā no pabalsta, kas piešķirts atbilstoši šā panta otrās 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Saskaņā ar Centrālās statistikas pārvaldes datiem bezdarbs 2025.gada augustā sasniedza 6,4% līmeni, kas ir tuvu dabiskajam bezdarbam. Darba devēji arvien plašāk sabiedriskajā telpā pauž viedokli, ka darba tirgū trūkst darbaspēka. LBAS ieskatā šādā situācijā jāveicina vecāku pabalsta saņēmēju iekļaušanos darba tirgū, vienlaicīgi nodrošinot iespēju saņemt adekvātu atlīdzību par paveikto darbu.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18.09.2025.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18.09.2025.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Atzinumi_25-TA-1295.docx</dc:title>
</cp:coreProperties>
</file>

<file path=docProps/custom.xml><?xml version="1.0" encoding="utf-8"?>
<Properties xmlns="http://schemas.openxmlformats.org/officeDocument/2006/custom-properties" xmlns:vt="http://schemas.openxmlformats.org/officeDocument/2006/docPropsVTypes"/>
</file>