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Celtniecības koledžas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Koledža ir valsts tiešās  pārvaldes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2.punktu, jo minētais jau izriet no projekta 1.punkta, kā arī no Profesionālās izglītības likuma 15.panta 1</w:t>
            </w:r>
            <w:r w:rsidR="00000000" w:rsidRPr="00000000" w:rsidDel="00000000">
              <w:rPr>
                <w:vertAlign w:val="superscript"/>
                <w:rtl w:val="0"/>
              </w:rPr>
              <w:t xml:space="preserve">1</w:t>
            </w:r>
            <w:r w:rsidR="00000000" w:rsidRPr="00000000" w:rsidDel="00000000">
              <w:rPr>
                <w:rtl w:val="0"/>
              </w:rPr>
              <w:t xml:space="preserve">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Personāla pienākums ir sekmēt koledžas darbību un atbalstīt atklātumu tās pārvaldē. Personālam ir tiesības piedalīties vadības un pašpārvaldes lēmumu un iekšējās kārtības noteikumu izstrādāšanā, kā arī tādu lēmumu pieņemšanā, kas skar personāla intereses, piedalīties koledžas koleģiālo vadības institūciju sēdēs, iesniegt priekšlikumus, kā arī tikt uzklausītam.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24.punktu, jo nav saprotams, par kuru pašpārvaldi ir runa (izglītojamo vai studējošo).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Studējošie koledžā, ievērojot Profesionālās izglītības likumā noteikto, izveido studējošo pašpārvaldi. Studējošo pašpārvaldei ir Profesionālās izglītības likumā noteiktās tiesības un tā darbojas Profesionālās izglītības likumā noteiktās kompetences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regulējumu par studējošo pašpārvaldi atbilstoši Profesionālās izglītības likuma 17.panta pirmās daļas 11.punktam, jo tas paredz, ka nolikumā ir jānorāda studējošo pašpārvaldes </w:t>
            </w:r>
            <w:r w:rsidR="00000000" w:rsidRPr="00000000" w:rsidDel="00000000">
              <w:rPr>
                <w:u w:val="single"/>
                <w:rtl w:val="0"/>
              </w:rPr>
              <w:t xml:space="preserve">izveidošanas kārtību</w:t>
            </w:r>
            <w:r w:rsidR="00000000" w:rsidRPr="00000000" w:rsidDel="00000000">
              <w:rPr>
                <w:rtl w:val="0"/>
              </w:rPr>
              <w:t xml:space="preserve">. Šobrīd norma paredz, ka šādu pašpārvaldi izveido, bet nav noteikts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Koledžu finansē no valsts budžeta. Koledžas finansēšanas avotus un kārtību nosaka Izglītības likums, Profesionālās izglītības likums un citi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57.punktu atbilstoši Profesionālās izglītības likuma 31.pantam.  No valsts budžeta tiek finansēts vietu skaits izglītības iestāžu licencētajās profesionālās izglītības programmās, kā arī piešķirts finansējums noteiktu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paredzētajam regulējumam ir ietekme arī uz koledžas personālu.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jo nav sniegta informācija kā projekts ietekmēs katru institūciju, proti,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procesa organizāciju koledžā nosaka Izglītības likums, Profesionālās izglītības, Augstskolu likums un citi normatīvie akti, tai skaitā šis nolikums, koledžas darba kārtības noteikumi, iekšējās kārtības noteikumi un citi koledžas iekšējie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jo nav saprotams, ar ko atšķiras šie divi iekšējie normatīvie akti: "koledžas darba kārtības noteikumi, iekšējās kārtības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Koledžas amatpersonu izdotos administratīvos aktus var apstrīdēt, iesniedzot attiecīgu iesniegumu koledžas direktoram, bet koledžas direktora lēmumu par apstrīdēto administratīvo aktu var pārsūdzēt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normu papildināt arī ar faktisko rīcību, pēc analoģijas ar 61.punktu.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23-TA-2951</w:t>
    </w:r>
    <w:r>
      <w:br/>
    </w:r>
    <w:r w:rsidR="00000000" w:rsidRPr="00000000" w:rsidDel="00000000">
      <w:rPr>
        <w:rtl w:val="0"/>
      </w:rPr>
      <w:t xml:space="preserve">Izdrukāts 14.12.2023.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23-TA-2951</w:t>
    </w:r>
    <w:r>
      <w:br/>
    </w:r>
    <w:r w:rsidR="00000000" w:rsidRPr="00000000" w:rsidDel="00000000">
      <w:rPr>
        <w:rtl w:val="0"/>
      </w:rPr>
      <w:t xml:space="preserve">Izdrukāts 14.12.2023.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Atzinumi_23-TA-2951.docx</dc:title>
</cp:coreProperties>
</file>

<file path=docProps/custom.xml><?xml version="1.0" encoding="utf-8"?>
<Properties xmlns="http://schemas.openxmlformats.org/officeDocument/2006/custom-properties" xmlns:vt="http://schemas.openxmlformats.org/officeDocument/2006/docPropsVTypes"/>
</file>