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Ieguldījumu pārvaldes sabiedrību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Papildus šā panta otrajā un trešajā daļā minētajiem ieguldījumu pakalpojumiem sabiedrība ir tiesīga sniegt kriptoaktīvu pakalpojumus, kas minēti Eiropas Parlamenta un Padomes 2023. gada 31. maija regulas (ES) 2023/1114 par kriptoaktīvu tirgiem un ar ko groza regulas (ES) Nr. 1093/2010 un (ES) Nr. 1095/2010 un direktīvas 2013/36/ES un (ES) 2019/1937 (turpmāk – Regula Nr. 2023/1114) 3. panta 1. punkta 24. un 25. apakšpunktā, kuri ir līdzvērtīgi šā panta otrajā un trešajā daļā minētajiem ieguldījumu pakalpojumiem – sniegt konsultācijas par kriptoaktīviem un nodrošināt kriptoaktīvu portfeļa pārvaldību, pirms tam saņemot atļauju Regulā Nr. 2023/1114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likumprojektā ietverto frāzi, "</w:t>
            </w:r>
            <w:r w:rsidR="00000000" w:rsidRPr="00000000" w:rsidDel="00000000">
              <w:rPr>
                <w:i w:val="1"/>
                <w:rtl w:val="0"/>
              </w:rPr>
              <w:t xml:space="preserve">kuri ir līdzvērtīgi šā panta otrajā un trešajā daļā </w:t>
            </w:r>
            <w:r w:rsidR="00000000" w:rsidRPr="00000000" w:rsidDel="00000000">
              <w:rPr>
                <w:i w:val="1"/>
                <w:u w:val="single"/>
                <w:rtl w:val="0"/>
              </w:rPr>
              <w:t xml:space="preserve">minētajiem ieguldījumu pakalpojumiem – sniegt konsultācijas par kriptoaktīviem un nodrošināt kriptoaktīvu portfeļa pārvaldību</w:t>
            </w:r>
            <w:r w:rsidR="00000000" w:rsidRPr="00000000" w:rsidDel="00000000">
              <w:rPr>
                <w:rtl w:val="0"/>
              </w:rPr>
              <w:t xml:space="preserve">", vai sniegt skaidrojumu. Proti, ja frāzi </w:t>
            </w:r>
            <w:r w:rsidR="00000000" w:rsidRPr="00000000" w:rsidDel="00000000">
              <w:rPr>
                <w:i w:val="1"/>
                <w:rtl w:val="0"/>
              </w:rPr>
              <w:t xml:space="preserve">"sniegt konsultācijas par kriptoaktīviem un nodrošināt kriptoaktīvu portfeļa pārvaldību</w:t>
            </w:r>
            <w:r w:rsidR="00000000" w:rsidRPr="00000000" w:rsidDel="00000000">
              <w:rPr>
                <w:rtl w:val="0"/>
              </w:rPr>
              <w:t xml:space="preserve">" ir domāts sasaistīt ar norādi uz </w:t>
            </w:r>
            <w:r w:rsidR="00000000" w:rsidRPr="00000000" w:rsidDel="00000000">
              <w:rPr>
                <w:i w:val="1"/>
                <w:rtl w:val="0"/>
              </w:rPr>
              <w:t xml:space="preserve">"kriptoaktīvu pakalpojumiem, kas minēti [Regulas Nr. 2023/114] 3. panta 1. punkta 24. un 25. apakšpunktā"</w:t>
            </w:r>
            <w:r w:rsidR="00000000" w:rsidRPr="00000000" w:rsidDel="00000000">
              <w:rPr>
                <w:rtl w:val="0"/>
              </w:rPr>
              <w:t xml:space="preserve">, nevis ar frāzi, "</w:t>
            </w:r>
            <w:r w:rsidR="00000000" w:rsidRPr="00000000" w:rsidDel="00000000">
              <w:rPr>
                <w:i w:val="1"/>
                <w:rtl w:val="0"/>
              </w:rPr>
              <w:t xml:space="preserve">kuri ir līdzvērtīgi šā panta otrajā un trešajā daļā minētajiem ieguldījumu pakalpojumiem –</w:t>
            </w:r>
            <w:r w:rsidR="00000000" w:rsidRPr="00000000" w:rsidDel="00000000">
              <w:rPr>
                <w:rtl w:val="0"/>
              </w:rPr>
              <w:t xml:space="preserve">", lūdzam redakcionāli precizēt normu, jo no pašreizējā normas gramatiskā formulējuma (pieturzīmju lietojuma) tas tā neizriet. Alternatīvi aicinām sniegt skaidrojumu par normas piemērošanu anotācijā. Papildus aicinām anotācijā (tostarp arī saistīto likumprojektu, kur paredzētas līdzīga satura normas, anotācijā) skaidrot, kas domāts ar pakalpojumu "līdzvērtīgumu".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Papildus šā panta otrajā un trešajā daļā minētajiem ieguldījumu pakalpojumiem sabiedrība ir tiesīga sniegt kriptoaktīvu pakalpojumus, kas minēti Eiropas Parlamenta un Padomes 2023. gada 31. maija regulas (ES) 2023/1114 par kriptoaktīvu tirgiem un ar ko groza regulas (ES) Nr. 1093/2010 un (ES) Nr. 1095/2010 un direktīvas 2013/36/ES un (ES) 2019/1937 (turpmāk – Regula Nr. 2023/1114) 3. panta 1. punkta 24. un 25. apakšpunktā, kuri ir līdzvērtīgi šā panta otrajā un trešajā daļā minētajiem ieguldījumu pakalpojumiem – sniegt konsultācijas par kriptoaktīviem un nodrošināt kriptoaktīvu portfeļa pārvaldību, pirms tam saņemot atļauju Regulā Nr. 2023/1114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likumprojektā ietverts pilnīgs un pietiekams regulējums saistībā ar iesnieguma iesniegšanu atļaujas saņemšanai (piemēram, kam iesniedz iesniegumu un kas izsniedz atļauju u.tml.), un, ja nepieciešams, veikt precizējumus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ietverto skaidrojumu: "</w:t>
            </w:r>
            <w:r w:rsidR="00000000" w:rsidRPr="00000000" w:rsidDel="00000000">
              <w:rPr>
                <w:i w:val="1"/>
                <w:rtl w:val="0"/>
              </w:rPr>
              <w:t xml:space="preserve">Ieguldījumu pārvaldes sabiedrība, kas ir saņēmusi atļauju sniegt finanšu pakalpojumus saskaņā ar Eiropas Parlamenta un Padomes 2009. gada 13. jūlija Direktīvas 2009/65/EK par normatīvo un administratīvo aktu koordināciju attiecībā uz pārvedamu vērtspapīru kolektīvo ieguldījumu uzņēmumiem (PVKIU) (turpmāk - Direktīva Nr. 2009/65/EK),</w:t>
            </w:r>
            <w:r w:rsidR="00000000" w:rsidRPr="00000000" w:rsidDel="00000000">
              <w:rPr>
                <w:i w:val="1"/>
                <w:u w:val="single"/>
                <w:rtl w:val="0"/>
              </w:rPr>
              <w:t xml:space="preserve"> saskaņā ar Regulas Nr. 2023/1114 60. panta 3. punktu</w:t>
            </w:r>
            <w:r w:rsidR="00000000" w:rsidRPr="00000000" w:rsidDel="00000000">
              <w:rPr>
                <w:i w:val="1"/>
                <w:rtl w:val="0"/>
              </w:rPr>
              <w:t xml:space="preserve"> ir tiesīga sniegt Regulas Nr. 2023/1114  3. panta 1. punkta 24. un 25. apakšpunktā noteikto kriptoaktīvu pakalpojumu</w:t>
            </w:r>
            <w:r w:rsidR="00000000" w:rsidRPr="00000000" w:rsidDel="00000000">
              <w:rPr>
                <w:rtl w:val="0"/>
              </w:rPr>
              <w:t xml:space="preserve">." Proti, minētā regulas vienība attiecas uz ieguldījumu brokeru sabiedrību, nevis ieguldījumu pārvaldes sabiedrību, attiecīgi aicinām precizēt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24-TA-671</w:t>
    </w:r>
    <w:r>
      <w:br/>
    </w:r>
    <w:r w:rsidR="00000000" w:rsidRPr="00000000" w:rsidDel="00000000">
      <w:rPr>
        <w:rtl w:val="0"/>
      </w:rPr>
      <w:t xml:space="preserve">Izdrukāts 16.04.2024. 19.38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24-TA-671</w:t>
    </w:r>
    <w:r>
      <w:br/>
    </w:r>
    <w:r w:rsidR="00000000" w:rsidRPr="00000000" w:rsidDel="00000000">
      <w:rPr>
        <w:rtl w:val="0"/>
      </w:rPr>
      <w:t xml:space="preserve">Izdrukāts 16.04.2024. 19.38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Atzinumi_24-TA-671.docx</dc:title>
</cp:coreProperties>
</file>

<file path=docProps/custom.xml><?xml version="1.0" encoding="utf-8"?>
<Properties xmlns="http://schemas.openxmlformats.org/officeDocument/2006/custom-properties" xmlns:vt="http://schemas.openxmlformats.org/officeDocument/2006/docPropsVTypes"/>
</file>