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elektrostaciju maksājumu kārtība vietējās kopienas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mājsaimniecība, kuras nekustamais īpašums – dzīvokļa īpašums, dzīvojamā māja vai tās daļa saskaņā ar normatīvajiem aktiem būvju klasifikācijas jomā – atrodas divu km rādiusā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maksājuma saņēmēji ir tikai mājsaimniecības un tiek izslēgti citi nekustamo īpašumu īpašnieki, kuru īpašumos tiek veikta saimnieciskā darbība (viesu nami utml.), kurus var būtiski negatīvi ietekmēt, tādējādi neveicinot šo īpašnieku labvēlīgu attieksmi pret vēja elektrostaciju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uzturam iebildumu (izziņas 31.punkts) par rīkojuma projekta anotācijā sniegto skaidrojumu, kas izslēdz no maksājumu saņēmēju loka būvju īpašniekus, kas saņēmuši būvatļauju, bet būve nodota ekspluatācijā pēc vēja elektrostacijas būvatļaujas izsniegšanas, kā arī to to būvju īpašniekus, kur īpašumā esošā būve pašlaik varētu būt sagruvusi. Kā iebildumā norādījām, tad arī sagruvusi būve ir uzskatām par 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Administrējošā pašvaldība 50% no saņemto maksājumu kopienai summas sadala proporcionāli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mājsaimniecību skaitam un līdz katra gada 1. jūnijam pārskaita maksājumu attiecīgajiem subjektiem uz to norādīto fiziskai personai piederošu bankas kontu, bet pārējos 50% no saņemto maksājumu kopienai summas ieskaita pašvaldības budžeta ieņēmumos un izlieto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noteiktajiem mērķiem. Ja maksājuma kopienai saņēmēja bankas konts nav zināms, administrējošā pašvaldība veic saziņu ar mājsaimniecību un noskaidro maksājuma rekvizītus maksājuma kopienai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iebildumu, ka maksājuma apmēru (no vienas līdz trīs mēnešalgām) katrai mājsaimniecībai ietekmē ietekmēto subjektu (mājsaimniecību) kopējais skaits attiecīgā VES parka 2 km radiusā.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09.07.2024.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09.07.2024.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Atzinumi_24-TA-1019.docx</dc:title>
</cp:coreProperties>
</file>

<file path=docProps/custom.xml><?xml version="1.0" encoding="utf-8"?>
<Properties xmlns="http://schemas.openxmlformats.org/officeDocument/2006/custom-properties" xmlns:vt="http://schemas.openxmlformats.org/officeDocument/2006/docPropsVTypes"/>
</file>