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 sadaļu un izvērtēt tiesību akta projekta ietekmi uz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aprakstīti vairāki jauni vai precizēti pienākumi atbalsta saņēmējiem, tostarp pienākums nodrošināt militārā projekta izmantošanu tikai noteiktajam mērķim, nodalīt militārā projekta izmaksas un darbības no citas komercdarbības, kā arī nodrošināt šo prasību izpildi. Minētās prasības rada ietekmi uz saimnieciskās darbības veicējiem, tādēļ tās ir atspoguļojamas anotācijas 2.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darbības, kas attiecās uz administratīvo slogu un atbilstības prasībām ir atiecināmas valsts atbalsta programmas ietvaros vai ir sedzamas no programmas finansējuma, lūdzam anotācijā sniegt attiecīgu skaidrojumu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7. sadaļas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izmaiņas valsts atbalsta programmas īstenošanas nosacījumos, kuru administrēšanā ir iesaistītas atbildīgās institūcijas. Līdz ar to lūdzam anotācijas 7. sadaļā norādīt projekta izpildē iesaistītās institūcijas un sniegt skaidrojumu par projekta ietekmi uz 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09.07.2026.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09.07.2026.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Atzinumi_26-TA-1256.docx</dc:title>
</cp:coreProperties>
</file>

<file path=docProps/custom.xml><?xml version="1.0" encoding="utf-8"?>
<Properties xmlns="http://schemas.openxmlformats.org/officeDocument/2006/custom-properties" xmlns:vt="http://schemas.openxmlformats.org/officeDocument/2006/docPropsVTypes"/>
</file>