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23-TA-2123: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2.2.2. specifiskā atbalsta mērķa "Pārejas uz aprites ekonomiku veicināšana" 2.2.2.1. pasākuma "Atkritumu šķirošana, pārstrāde un reģenerācija" projektu iesniegumu atlases pirmās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Izmaksas ir attiecināmas no projekta iesnieguma iesniegšanas dienas sadarbības iestādē, izņemot šo noteikumu </w:t>
            </w:r>
            <w:r w:rsidR="00000000" w:rsidRPr="00000000" w:rsidDel="00000000">
              <w:rPr>
                <w:rtl w:val="0"/>
              </w:rPr>
              <w:t xml:space="preserve">23.1. </w:t>
            </w:r>
            <w:r w:rsidR="00000000" w:rsidRPr="00000000" w:rsidDel="00000000">
              <w:rPr>
                <w:rtl w:val="0"/>
              </w:rPr>
              <w:t xml:space="preserve">apakšpunktā</w:t>
            </w:r>
            <w:r w:rsidR="00000000" w:rsidRPr="00000000" w:rsidDel="00000000">
              <w:rPr>
                <w:rtl w:val="0"/>
              </w:rPr>
              <w:t xml:space="preserve"> minētās būvprojekta izstrādes izmaksas, kas ir attiecināmas no 2023. gada 1. jūlija.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Nr.651/2014 ir piemērojama tikai tādām izmaksām, kas radušās pēc projekta pieteikuma iesniegšanas sadarbības iestādē. Izmaksas par būvprojekta izstrādes pakalpojumu, kas veiktas pirms projekta pieteikuma iesniegšanas sadarbības iestādē, ir vai nu jāsedz projekta īstenotājam vai iespējams piemērot de minimis regulējumu. Attiecīgi lūdzam precizēt noteikumus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47.2. pirms </w:t>
            </w:r>
            <w:r w:rsidR="00000000" w:rsidRPr="00000000" w:rsidDel="00000000">
              <w:rPr>
                <w:i w:val="1"/>
                <w:rtl w:val="0"/>
              </w:rPr>
              <w:t xml:space="preserve">de minimis </w:t>
            </w:r>
            <w:r w:rsidR="00000000" w:rsidRPr="00000000" w:rsidDel="00000000">
              <w:rPr>
                <w:rtl w:val="0"/>
              </w:rPr>
              <w:t xml:space="preserve">atbalsta piešķiršanas pārbauda, vai projekta iesniedzējam minētais atbalsts nepalielina nevienā trīs gadu periodā saņemtā </w:t>
            </w:r>
            <w:r w:rsidR="00000000" w:rsidRPr="00000000" w:rsidDel="00000000">
              <w:rPr>
                <w:i w:val="1"/>
                <w:rtl w:val="0"/>
              </w:rPr>
              <w:t xml:space="preserve">de minimis </w:t>
            </w:r>
            <w:r w:rsidR="00000000" w:rsidRPr="00000000" w:rsidDel="00000000">
              <w:rPr>
                <w:rtl w:val="0"/>
              </w:rPr>
              <w:t xml:space="preserve">atbalsta kopējo apmēru līdz līmenim, kas pārsniedz regulas Nr. 2023/2831 3. panta 2. punktā noteikto maksimālo</w:t>
            </w:r>
            <w:r w:rsidR="00000000" w:rsidRPr="00000000" w:rsidDel="00000000">
              <w:rPr>
                <w:i w:val="1"/>
                <w:rtl w:val="0"/>
              </w:rPr>
              <w:t xml:space="preserve"> de minimis</w:t>
            </w:r>
            <w:r w:rsidR="00000000" w:rsidRPr="00000000" w:rsidDel="00000000">
              <w:rPr>
                <w:rtl w:val="0"/>
              </w:rPr>
              <w:t xml:space="preserve"> atbalsta apmēru jeb 300 000 </w:t>
            </w:r>
            <w:r w:rsidR="00000000" w:rsidRPr="00000000" w:rsidDel="00000000">
              <w:rPr>
                <w:i w:val="1"/>
                <w:rtl w:val="0"/>
              </w:rPr>
              <w:t xml:space="preserve">euro </w:t>
            </w:r>
            <w:r w:rsidR="00000000" w:rsidRPr="00000000" w:rsidDel="00000000">
              <w:rPr>
                <w:rtl w:val="0"/>
              </w:rPr>
              <w:t xml:space="preserve">vienam vienotam uzņēmumam. Izvērtējot finanšu atbalsta apmēru, jāvērtē saņemtais </w:t>
            </w:r>
            <w:r w:rsidR="00000000" w:rsidRPr="00000000" w:rsidDel="00000000">
              <w:rPr>
                <w:i w:val="1"/>
                <w:rtl w:val="0"/>
              </w:rPr>
              <w:t xml:space="preserve">de minimis </w:t>
            </w:r>
            <w:r w:rsidR="00000000" w:rsidRPr="00000000" w:rsidDel="00000000">
              <w:rPr>
                <w:rtl w:val="0"/>
              </w:rPr>
              <w:t xml:space="preserve">atbalsts viena vienota uzņēmuma līmenī. Viens vienots uzņēmums ir tāds uzņēmums, kas atbilst regulas Nr. 2023/2831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47.2. apakšpunkta redakciju pret Komisijas regulas Nr. 2023/2831 3. panta 2. punktā lietoto formulējumu, ka </w:t>
            </w:r>
            <w:r w:rsidR="00000000" w:rsidRPr="00000000" w:rsidDel="00000000">
              <w:rPr>
                <w:i w:val="1"/>
                <w:rtl w:val="0"/>
              </w:rPr>
              <w:t xml:space="preserve">de minimis</w:t>
            </w:r>
            <w:r w:rsidR="00000000" w:rsidRPr="00000000" w:rsidDel="00000000">
              <w:rPr>
                <w:rtl w:val="0"/>
              </w:rPr>
              <w:t xml:space="preserve"> kopsummu kopā ar plānoto ir jāpārbauda trīs gadu periodā skaitot </w:t>
            </w:r>
            <w:r w:rsidR="00000000" w:rsidRPr="00000000" w:rsidDel="00000000">
              <w:rPr>
                <w:u w:val="single"/>
                <w:rtl w:val="0"/>
              </w:rPr>
              <w:t xml:space="preserve">no </w:t>
            </w:r>
            <w:r w:rsidR="00000000" w:rsidRPr="00000000" w:rsidDel="00000000">
              <w:rPr>
                <w:i w:val="1"/>
                <w:u w:val="single"/>
                <w:rtl w:val="0"/>
              </w:rPr>
              <w:t xml:space="preserve">de minimis</w:t>
            </w:r>
            <w:r w:rsidR="00000000" w:rsidRPr="00000000" w:rsidDel="00000000">
              <w:rPr>
                <w:u w:val="single"/>
                <w:rtl w:val="0"/>
              </w:rPr>
              <w:t xml:space="preserve"> atbalsta piešķiršanas lēmuma pieņemšanas dienas</w:t>
            </w:r>
            <w:r w:rsidR="00000000" w:rsidRPr="00000000" w:rsidDel="00000000">
              <w:rPr>
                <w:rtl w:val="0"/>
              </w:rPr>
              <w:t xml:space="preserve">. Atbilstoši aicinām precizēt arī anotāciju, norādot, ka Komisijas regulas Nr. 2023/2831 ietvaros trīs gadu laikposms ir jāvērtē kā slīdošs periods un attiecībā uz katru jaunu </w:t>
            </w:r>
            <w:r w:rsidR="00000000" w:rsidRPr="00000000" w:rsidDel="00000000">
              <w:rPr>
                <w:i w:val="1"/>
                <w:rtl w:val="0"/>
              </w:rPr>
              <w:t xml:space="preserve">de minimis</w:t>
            </w:r>
            <w:r w:rsidR="00000000" w:rsidRPr="00000000" w:rsidDel="00000000">
              <w:rPr>
                <w:rtl w:val="0"/>
              </w:rPr>
              <w:t xml:space="preserve"> atbalsta piešķiršanu jāņem vērā </w:t>
            </w:r>
            <w:r w:rsidR="00000000" w:rsidRPr="00000000" w:rsidDel="00000000">
              <w:rPr>
                <w:i w:val="1"/>
                <w:rtl w:val="0"/>
              </w:rPr>
              <w:t xml:space="preserve">de minimis</w:t>
            </w:r>
            <w:r w:rsidR="00000000" w:rsidRPr="00000000" w:rsidDel="00000000">
              <w:rPr>
                <w:rtl w:val="0"/>
              </w:rPr>
              <w:t xml:space="preserve"> atbalsta kopsumma, kas piešķirta iepriekšējos trīs gados.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Suzanna Kuļčuka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rezultāta rādītājs – pārstrādāto atkritumu apjoms. Rezultāta rādītāja vērtība tiek sasniegta, ja atlases kārtas projektu ietvaros veikti ieguldījumi atkritumu pārstrādes iekārtu izveidē atbilstoši šo noteikumu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noteiktajā apjomā, sasniedzot pārstrādāto atkritumu apjomu 223 000 tonnas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noteikumu projekta 5.3. apakšpunktu, norādot sasniedzamo rezultāta rādītāja vērtību 102 500 tonnas gadā atbilstoši plānotajam rādītājam ES kohēzijas politikas programmā 2021.-2027.gadam.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Izmaksas, kas saskaņā ar šiem noteikumiem nav iekļaujamas projektā kā attiecināmās izmaksas, ir finansējamas ārpus projekta par finansējuma saņēmēja līdzekļiem, par kuriem nav saņemts nekāds komercdarbības atbalsts. Ārpus projekta nedrīkst paredzēt izmaksas par darbībām, kas tiešā veidā nodrošina projekta mērķa sasniegšanu, izņemot šo noteikumu </w:t>
            </w:r>
            <w:r w:rsidR="00000000" w:rsidRPr="00000000" w:rsidDel="00000000">
              <w:rPr>
                <w:rtl w:val="0"/>
              </w:rPr>
              <w:t xml:space="preserve">37.3. </w:t>
            </w:r>
            <w:r w:rsidR="00000000" w:rsidRPr="00000000" w:rsidDel="00000000">
              <w:rPr>
                <w:rtl w:val="0"/>
              </w:rPr>
              <w:t xml:space="preserve">apakšpunktā</w:t>
            </w:r>
            <w:r w:rsidR="00000000" w:rsidRPr="00000000" w:rsidDel="00000000">
              <w:rPr>
                <w:rtl w:val="0"/>
              </w:rPr>
              <w:t xml:space="preserve"> minētās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27.punktā sniegto skaidrojumu, lūdzam izvērtēt vai šī punkta otrā teikuma nosacījuma iekļaušana nerada risku projektu iesniegumu sagatavošanu ar ļoti zemu Kohēzijas fonda finansējuma procentuālo daļu attiecināmajās izmaksās. Tāpat vēršam uzmanību, ka līguma grozījumu veikšana ar likmju izmaiņām liek atkārtoti izvērtēt projekta atbilstību atlases nosacījumiem un atklātas projektu iesniegumu atlases gadījumā, ja bija paredzēts vērtēšanas kritērijos, var ietekmēt sākotnējo lēmumu par projekta apstiprināšanu.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37.7. uzkrāj datus par projekta ietekmi uz horizontālo principu īstenošanu projekta īstenošanas laikā un pēcuzraudzības periodā ievēro šādus 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Apakšpunkta redakcija joprojām nosaka datu uzkrāšanu pēcuzraudzības periodā, tāpēc atkārtoti aicinām precizēt apakšpunktu iepriekš piedāvātajā redakcijā, kas nosaka datu uzkrāšanu tikai projekta īstenošanas laikā, bet principu ievērošanu abos minētajos periodos. Vai svītrot 37.7.apakšpunktā vārdus "pēcuzraudzības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37.7. projekta īstenošanas laikā uzkrāj datus par projekta ietekmi uz horizontālo principu īstenošanu un projekta īstenošanas laikā un pēcuzraudzības periodā ievēro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37.10. ir atbildīgs par dubultā finansējuma riska novēršanu un demarkācijas nodrošināšanu, lai projekta ietvaros plānotais komercdarbības atbalsts nepārklātos ar citiem valsts un ārvalstu finanšu atbalsta instrumentiem.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noteikumu projekta 37.10. apakšpunktu, paredzot, ka finansējuma saņēmējs nodrošina nepārklāšanās principu ar citiem valsts un ārvalstu finanšu atbalsta instrumentiem un dubultā finansējuma neiestāšanos, kā arī atbilstoši komercdarbības atbalsta regulējamam – atbalsta summēšanas (kumulācijas) nosacījumu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dubultā finansējuma riska novēršana un demarkācija nodrošināma attiecībā uz Eiropas Savienības fondu finansējumu kopumā, nevis tikai ar mērķi, lai projekta ietvaros plānotais </w:t>
            </w:r>
            <w:r w:rsidR="00000000" w:rsidRPr="00000000" w:rsidDel="00000000">
              <w:rPr>
                <w:u w:val="single"/>
                <w:rtl w:val="0"/>
              </w:rPr>
              <w:t xml:space="preserve">komercdarbības atbalsts</w:t>
            </w:r>
            <w:r w:rsidR="00000000" w:rsidRPr="00000000" w:rsidDel="00000000">
              <w:rPr>
                <w:rtl w:val="0"/>
              </w:rPr>
              <w:t xml:space="preserve"> nepārklātos ar citiem valsts un ārvalstu finanšu atbalsta instrumentiem.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Komercdarbības atbalstu šo noteikumu ietvaros piešķir saskaņā ar regulas Nr. 651/2014 47.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atbalstu šo noteikumu ietvaros piešķir arī saskaņā ar regulu Nr. 2023/2831, līdz ar to lūdzam precizēt noteikumu projekta 39.punktā norādīto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47.3.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Dokumentāciju par atbalsta piešķiršanu saskaņā ar regulas Nr. 2023/2831 6. panta 3. punktu sadarbības iestāde glabā 10 gadus no programmas ietvaros pēdējā piešķirtā atbalsta, bet finansējuma saņēmējs – 10 gadus no atbalsta piešķiršanas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iepriekš nosacījumi par dokumentu glabāšanu izrietēja no Komisijas regulas Nr. 1407/2013  6. panta 4. punkta, šobrīd dokumentu glabāšanas nosacījumi izriet no Komisijas regulas Nr. 2023/2831 6.panta 3.punkta. Skaidrojam, ka Komisijas regulas Nr. 2023/2831 6. panta 3. punkts nosaka, ka </w:t>
            </w:r>
            <w:r w:rsidR="00000000" w:rsidRPr="00000000" w:rsidDel="00000000">
              <w:rPr>
                <w:i w:val="1"/>
                <w:rtl w:val="0"/>
              </w:rPr>
              <w:t xml:space="preserve">"Dalībvalstis reģistrēto informāciju par de minimis atbalstu glabā 10 gadus no atbalsta piešķiršanas dienas"</w:t>
            </w:r>
            <w:r w:rsidR="00000000" w:rsidRPr="00000000" w:rsidDel="00000000">
              <w:rPr>
                <w:rtl w:val="0"/>
              </w:rPr>
              <w:t xml:space="preserve">, taču vienlaikus Komisijas regulas Nr. 2023/2831 6. panta 7. punkts nosaka, ka </w:t>
            </w:r>
            <w:r w:rsidR="00000000" w:rsidRPr="00000000" w:rsidDel="00000000">
              <w:rPr>
                <w:i w:val="1"/>
                <w:rtl w:val="0"/>
              </w:rPr>
              <w:t xml:space="preserve">“Pēc rakstiska Komisijas pieprasījuma attiecīgā dalībvalsts 20 darbdienu laikā vai tādā ilgākā laikposmā, kāds noteikts pieprasījumā, sniedz Komisijai visu informāciju, kuru Komisija uzskata par vajadzīgu, lai novērtētu, vai šīs regulas nosacījumi ir izpildīti, un jo īpaši informāciju par uzņēmuma saņemto de minimis atbalsta kopsummu šīs regulas un citu de minimis regulu nozīmē”</w:t>
            </w:r>
            <w:r w:rsidR="00000000" w:rsidRPr="00000000" w:rsidDel="00000000">
              <w:rPr>
                <w:rtl w:val="0"/>
              </w:rPr>
              <w:t xml:space="preserve">, tādējādi pastāv gadījumi, ka Eiropas Komisija, ievērojot Padomes Regulā (ES) 2015/1589 (2015. gada 13. jūlijs), ar ko nosaka sīki izstrādātus noteikumus Līguma par Eiropas Savienības darbību 108. panta piemērošanai (kodificēta redakcija) (jeb Procesuālā regula) noteikto 10 gadu noilguma periodu saistībā ar nelikumīga un nesaderīga komercdarbības atbalsta atgūšanu, var pieprasīt dalībvalstīm iesniegt informāciju, kas pārsniedz Komisijas regulas Nr. 2023/2831 6. panta 1. punktā ietverto informācijas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papildināt noteikumu 47.3. apakšpunkta redakciju arī ar atsauci uz Komisijas regulas Nr. 2023/2831 6. panta 7. punktu, vai no minētā punkta svītrojot atsauci uz Komisijas regulas Nr. 2023/2831 6. panta 3. punktu, atstājot tajā tikai dokumentu glabāšanas nosacījumus. Vienlaikus lūdzam atbilstoši precizēt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Suzanna Kuļčuka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šādus precizējumus anotācijas 3.sadaļā: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kārtējo gadu tabulā ir jāprecizē uz 2024.gadu un attiecīgi jāprecizē arī pārējos gadus atbilstoši tiem arī norādot precizētu finansējuma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5.punktā norādīts, ka atlases kārtas ietvaros uzraudzības rādītāji  ir sasniedzami līdz 2029.gada 31.decembrim, taču anotācijas 3.sadaļas 6.punktā norādīts, ka finansējums tiek plānots arī 2030.gadam, attiecīgi nepieciešams veikt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23-TA-2123</w:t>
    </w:r>
    <w:r>
      <w:br/>
    </w:r>
    <w:r w:rsidR="00000000" w:rsidRPr="00000000" w:rsidDel="00000000">
      <w:rPr>
        <w:rtl w:val="0"/>
      </w:rPr>
      <w:t xml:space="preserve">Izdrukāts 06.02.2024. 18.47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23-TA-2123</w:t>
    </w:r>
    <w:r>
      <w:br/>
    </w:r>
    <w:r w:rsidR="00000000" w:rsidRPr="00000000" w:rsidDel="00000000">
      <w:rPr>
        <w:rtl w:val="0"/>
      </w:rPr>
      <w:t xml:space="preserve">Izdrukāts 06.02.2024. 18.47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Atzinumi_23-TA-2123.docx</dc:title>
</cp:coreProperties>
</file>

<file path=docProps/custom.xml><?xml version="1.0" encoding="utf-8"?>
<Properties xmlns="http://schemas.openxmlformats.org/officeDocument/2006/custom-properties" xmlns:vt="http://schemas.openxmlformats.org/officeDocument/2006/docPropsVTypes"/>
</file>