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un pamatojumu attiecībā uz izmaiņām LIAA projekta finansējumā, kuras paredzētas MK noteikumu projekta 6.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2.ailē “saskaņā ar valsts budžetu kārtējam gadam” norādītā ERAF (1. un 1.1. punkts) un valsts budžeta (3. un 3.1.punkts) finansējuma proporcija veido 81% un 19%, savukārt atbilstoši noteikumu projekta 9.</w:t>
            </w:r>
            <w:r w:rsidR="00000000" w:rsidRPr="00000000" w:rsidDel="00000000">
              <w:rPr>
                <w:vertAlign w:val="superscript"/>
                <w:rtl w:val="0"/>
              </w:rPr>
              <w:t xml:space="preserve">1</w:t>
            </w:r>
            <w:r w:rsidR="00000000" w:rsidRPr="00000000" w:rsidDel="00000000">
              <w:rPr>
                <w:rtl w:val="0"/>
              </w:rPr>
              <w:t xml:space="preserve"> punktam tā ir 84% un 16%. Lūdzam izvērtēt un nepieciešamības gadījumā precizēt minētajā ailē attiecīgajos punktos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06.04.2023.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06.04.2023.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