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akreditētie valsts muzeji var saņemt valsts garantētu apdrošināšanu starptautisku izstāžu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Muzejam, kuram sniegtais galvojums kvalificējas kā valsts atbalsts, to piešķir kā </w:t>
            </w:r>
            <w:r w:rsidR="00000000" w:rsidRPr="00000000" w:rsidDel="00000000">
              <w:rPr>
                <w:i w:val="1"/>
                <w:rtl w:val="0"/>
              </w:rPr>
              <w:t xml:space="preserve">de minimis</w:t>
            </w:r>
            <w:r w:rsidR="00000000" w:rsidRPr="00000000" w:rsidDel="00000000">
              <w:rPr>
                <w:rtl w:val="0"/>
              </w:rPr>
              <w:t xml:space="preserve"> atbalstu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nepieciešamības gadījumā atbalsts šī noteikumu projekta ietvaros tiks piešķirts kā de minimis atbasts, lūdzam noteikumu projektu papildināt ar visiem piemērojamā komercdarbības atbalsta regulējuma (t.i., Komisijas regulas Nr.2023/2831) nosacījumiem (de minimis atbalsta piešķiršanas brīdis un de minimis atbalsta nosacījumu vērtēšana uz atbalsta piešķiršanas brīdi; de minimis atbalsta robežvērtība un tās vērtēšana viena vienota uzņēmuma līmenī; nozaru un darbību ierobežojumu, kā arī to nodalīšana; piemērojamie kumulācijas nosacījumi vai tās aizliegums; datu glabāšana par piešķirto de minimis atbalstu gan attiecībā uz atbalsta sniedzēju, gan uz atbalsta saņēmēju; nosacījums par de minimis atbalsta uzskaites veidlapas iesniegšanu atbalsta sniedzējam; nosacījums par de minimis atbalsta uzskaites nodrošināšanu saskaņā ar normatīvajiem aktiem par de minimis atbalsta uzskaites un piešķiršanas kārtību; nelikumīga de minimis atbalsta atgūšana; termiņš, līdz kuram atbalsta programmas ietvaros piešķirams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Muzejam, kuram sniegtais galvojums kvalificējas kā valsts atbalsts, to piešķir kā </w:t>
            </w:r>
            <w:r w:rsidR="00000000" w:rsidRPr="00000000" w:rsidDel="00000000">
              <w:rPr>
                <w:i w:val="1"/>
                <w:rtl w:val="0"/>
              </w:rPr>
              <w:t xml:space="preserve">de minimis</w:t>
            </w:r>
            <w:r w:rsidR="00000000" w:rsidRPr="00000000" w:rsidDel="00000000">
              <w:rPr>
                <w:rtl w:val="0"/>
              </w:rPr>
              <w:t xml:space="preserve"> atbalstu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w:t>
            </w:r>
            <w:r w:rsidR="00000000" w:rsidRPr="00000000" w:rsidDel="00000000">
              <w:rPr>
                <w:i w:val="1"/>
                <w:rtl w:val="0"/>
              </w:rPr>
              <w:t xml:space="preserve">Komisijas 2023.gada 13.decembra regulas (ES) 2023/2831 par Līguma par Eiropas Savienības darbību 107. un 108. panta piemērošanu de minimis atbalstam</w:t>
            </w:r>
            <w:r w:rsidR="00000000" w:rsidRPr="00000000" w:rsidDel="00000000">
              <w:rPr>
                <w:rtl w:val="0"/>
              </w:rPr>
              <w:t xml:space="preserve"> (turpmāk - Komisijas regula Nr.2023/2831) preambulas 16.apsvērumu: "</w:t>
            </w:r>
            <w:r w:rsidR="00000000" w:rsidRPr="00000000" w:rsidDel="00000000">
              <w:rPr>
                <w:i w:val="1"/>
                <w:rtl w:val="0"/>
              </w:rPr>
              <w:t xml:space="preserve">Pārredzamības, vienlīdzīgas attieksmes un efektīvas uzraudzības labad šī regula būtu jāpiemēro tikai tādam de minimis atbalstam, </w:t>
            </w:r>
            <w:r w:rsidR="00000000" w:rsidRPr="00000000" w:rsidDel="00000000">
              <w:rPr>
                <w:i w:val="1"/>
                <w:u w:val="single"/>
                <w:rtl w:val="0"/>
              </w:rPr>
              <w:t xml:space="preserve">kuram ir iespējams iepriekš aprēķināt precīzo bruto dotācijas ekvivalentu</w:t>
            </w:r>
            <w:r w:rsidR="00000000" w:rsidRPr="00000000" w:rsidDel="00000000">
              <w:rPr>
                <w:i w:val="1"/>
                <w:rtl w:val="0"/>
              </w:rPr>
              <w:t xml:space="preserve">, neveicot riska novērtējumu (“pārredzams de minimis atbalsts”). [..].</w:t>
            </w:r>
            <w:r w:rsidR="00000000" w:rsidRPr="00000000" w:rsidDel="00000000">
              <w:rPr>
                <w:rtl w:val="0"/>
              </w:rPr>
              <w:t xml:space="preserve">" Vēršam uzmanību, ka šobrīd no noteikumu projekta 8.punkta nav skaidrs, kā tiks aprēķināta precīzs piešķiramais de minimis atbalsta apmērs, proti, vai tas tiks piešķirts kā galvojums un bruto dotācijas ekvivalents aprēķināts atbilstoši Komisijas regulas Nr.2023/2831 4.panta 6.punktam, vai arī tas tiks piešķirts kā grants par zaudējumos izmaksāto kompensācijas summu. Lūdzam ar attiecīgu normu par piešķiramā de minimis atbalsta apmēra noteikšanu papildināt noteikumu projektu. Papildus nav skaidrs, vai par galvojuma izmantošanu (neatkarīgi no tā, vai iestāsies zaudējumu kompensācijas gadījums) tiks vai netiks maksāta galvojuma izmantošanas atlīdzība un kādā apmērā - lūdzam šo aspektu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akreditētie valsts muzeji var saņemt valsts garantētu apdrošināšanu starptautisku izstāžu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4., 18.1., 21., 23.6.  punktos nodrošinātu atbilstību likumprojektā "Par valsts budžetu 2026. gadam un budžeta ietvaru 2026., 2027. un 2028. gadam" lietotajai redakcijai, lūdzu vārdus "maksimāli pieļaujamais galvojuma apmērs" aizstāt ar vārdiem "</w:t>
            </w:r>
            <w:r w:rsidR="00000000" w:rsidRPr="00000000" w:rsidDel="00000000">
              <w:rPr>
                <w:u w:val="single"/>
                <w:rtl w:val="0"/>
              </w:rPr>
              <w:t xml:space="preserve">maksimāli pieļaujamais valsts garantētas apdrošināšanas apmērs</w:t>
            </w:r>
            <w:r w:rsidR="00000000" w:rsidRPr="00000000" w:rsidDel="00000000">
              <w:rPr>
                <w:rtl w:val="0"/>
              </w:rPr>
              <w:t xml:space="preserve">" attiecīgajā redakcijā un atbilstoši precizēt terminoloģiju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akreditēts valsts muzejs (turpmāk – muzejs) var saņemt valsts garantētu apdrošināšanu (turpmāk – galvojums) starptautisku izstāžu (turpmāk – izstāžu) rīkošanai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interpretāciju, lūdzam MK noteikumu projektā vārdu “galvojums” aizstāt ar vārdu “garantija” atbilstoši Muzeju likuma 15. panta otrajā daļā lietotajai terminoloģijai, kas nosaka, ka “Ministru kabineta noteiktajā kārtībā muzeji var saņemt valsts</w:t>
            </w:r>
            <w:r w:rsidR="00000000" w:rsidRPr="00000000" w:rsidDel="00000000">
              <w:rPr>
                <w:i w:val="1"/>
                <w:rtl w:val="0"/>
              </w:rPr>
              <w:t xml:space="preserve"> garantētu</w:t>
            </w:r>
            <w:r w:rsidR="00000000" w:rsidRPr="00000000" w:rsidDel="00000000">
              <w:rPr>
                <w:rtl w:val="0"/>
              </w:rPr>
              <w:t xml:space="preserve"> apdrošināšanu starptautisku izstāžu rīkošanai". Lūdzam veikt  precizējumus visā MK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Muzejam, kuram sniegtais galvojums kvalificējas kā valsts atbalsts, to piešķir kā </w:t>
            </w:r>
            <w:r w:rsidR="00000000" w:rsidRPr="00000000" w:rsidDel="00000000">
              <w:rPr>
                <w:i w:val="1"/>
                <w:rtl w:val="0"/>
              </w:rPr>
              <w:t xml:space="preserve">de minimis</w:t>
            </w:r>
            <w:r w:rsidR="00000000" w:rsidRPr="00000000" w:rsidDel="00000000">
              <w:rPr>
                <w:rtl w:val="0"/>
              </w:rPr>
              <w:t xml:space="preserve"> atbalstu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par to, kā būtu jāvērtē komercdarbības atbalsta esamība, aicinām noteikumu projekta 8.punktā iekļaut atsauci uz Komercdarbības atbalsta kontroles likuma 5.pantu, kā arī visā noteikumu projektā aicinām lietot terminu "komercdarbības atbalsts", ņemot vērā, ka tāds ir noteikts ar nacionālajiem normatīvajiem aktiem komercdarbības atbalsta kontroles jomā. Līdz ar to aicinām izteikt noteikumu projekta 8.punkta ievaddaļu,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Muzejam, kuram piešķirtais galvojums kvalificējas kā komercdarbības atbalsts saskaņā ar Komercdarbības atbalsta kontroles likuma 5.pantu,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Eksponāts ir uzskatāms par zudušu, ja tam ir būtiski bojājumi, kuru dēļ to nav iespējams restaurēt, vai nav izredžu, ka to ir iespējams atgūt. Ja ienākošās izstādes eksponāta īpašnieks vai valdītājs ir zaudējis eksponātu vairāk nekā 60 dienas, šo noteikumu izpratnē tiek pieņemts, ka eksponāts netiks atgūts.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 būtu rīcība, ja zādzības vai laupīšanas gadījumā eksponāts tiek atgūts pēc vairāk nekā 60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spēkā stāšanās termiņa pamatojumu, ņemot vēra, ka Informatīvais ziņojums "Par kārtību, kādā akreditētie valsts muzeji var saņemt valsts garantētu apdrošināšanu starptautisku izstāžu rīkošanai" tika izskatīts MK 2025. gada </w:t>
            </w:r>
            <w:r w:rsidR="00000000" w:rsidRPr="00000000" w:rsidDel="00000000">
              <w:rPr>
                <w:u w:val="single"/>
                <w:rtl w:val="0"/>
              </w:rPr>
              <w:t xml:space="preserve">17. jūnija</w:t>
            </w:r>
            <w:r w:rsidR="00000000" w:rsidRPr="00000000" w:rsidDel="00000000">
              <w:rPr>
                <w:rtl w:val="0"/>
              </w:rPr>
              <w:t xml:space="preserve"> sēdē (prot. Nr. 24 52.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interpretāciju, lūdzam vārdu “galvojums” aizstāt ar vārdu “garantija” atbilstoši Muzeju likuma 15. panta otrajā daļā lietotajai terminoloģijai, kas nosaka, ka “Ministru kabineta noteiktajā kārtībā muzeji var saņemt valsts garantētu apdrošināšanu starptautisku izstāžu rīkošanai".  Lūdzam veikt šādus precizējumus visā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teikumu: Projektā paredzētā Valsts garanta sistēma paredz ikgadēju attiecīgā fiskālā riska iestāšanās varbūtības un fiskālās ietekmes novērtēšanu, fiskālā nodrošinājuma rezerves aprēķinu, zaudējumu gadījumā kompensācijas izmaksas nodrošināšanu, palielinot apropriāciju Kultūras ministrijas budžetā, tādējādi fiskālo ietekmi kompensējot fiskālā nodrošinājuma rezerves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Fiskālo risku vispārējās vadības ietvaros valsts garantētās apdrošināšanas sistēmai paredz ikgadēju attiecīgā fiskālā riska iestāšanās varbūtības un fiskālās ietekmes novērtēšanu, attiecīgi izvērtējot nepieciešamību veidot fiskālo nodrošinājumu rezervi, zaudējumu gadījumā kompensācijas izmaksas nodrošināšanu, palielinot apropriāciju Kultūras ministrijas budžetā, tādējādi fiskālo ietekmi kompensējot fiskālā nodrošinājuma rezerves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13.10.2025.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13.10.2025.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Atzinumi_25-TA-2339.docx</dc:title>
</cp:coreProperties>
</file>

<file path=docProps/custom.xml><?xml version="1.0" encoding="utf-8"?>
<Properties xmlns="http://schemas.openxmlformats.org/officeDocument/2006/custom-properties" xmlns:vt="http://schemas.openxmlformats.org/officeDocument/2006/docPropsVTypes"/>
</file>