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22-TA-2786: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1.2.1. specifiskā atbalsta mērķa “Pētniecības un inovāciju kapacitātes stiprināšana un progresīvu tehnoloģiju ieviešana uzņēmumiem” 1.2.1.4. pasākuma “Atbalsts tehnoloģiju pārneses sistēmas pilnveidošanai”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2021.–2027.gadam 1.2.1. specifiskā atbalsta mērķa “Pētniecības un inovāciju kapacitātes stiprināšana un progresīvu tehnoloģiju ieviešana uzņēmumiem” 1.2.1.4. pasākuma “Atbalsts tehnoloģiju pārneses sistēmas pilnveidošanai”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MKN projekta uztveramību, lūdzam MKN projekta pielikumā vai anotācijā aprakstīt 1.2.1.4.pasākuma īstenošanas shēmu, iekļaujot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pasākuma īstenošana iekļaujas kopējā inovāciju pārvaldības modelī, t.sk. plānotā vērtēšanas komisijas un konsultatīvās padomes izveide;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kādas ir uzņēmumiem piedāvātās atbalsta apakšprogrammas (programmai un uzņēmumiem pieejamais maksimālais finansējums, galvenās atbalstāmās darbības, TRL līmenis u.c. būtiski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tiks nodrošināta LIAA izmaksu demarkācija ar citām programmām, kurās arī plānota LIAA administratīvo izmaksu segšana.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par šiem jautājumiem organizēt sanāksmi, pieaicinot arī IZM un TM kolēģus, lai pārrunātu augstāk minētos aspektus, kā arī, kā plānots organizēt komercializācijas jautājumus un kāda ir plānotā vaučeru izsniegšanas shēma.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gala labuma guvējs - Latvijas Republikas Komercreģistrā reģistrēts komersants, kas atbilst sīkā (mikro), mazā un vidējā komersanta statusam saskaņā ar Regulas Nr. 651/2014 2. panta 2. punktu vai, kas atbilst lielā komersanta statusam saskaņā ar Regulas Nr. 651/2014 2. panta 24. punktā noteikto definīciju, vai pētniecības organizācija ar nosacījumu, ja tā ietver sadarbību ar mazajiem/vidējiem komersantiem pētniecības un inovācijas aktivitātēs;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Kohēzijas politikas programmas (2021-2027). 85.paragrāfa nosacījums (atbalsts mazas, vidējas kapitalizācijas sabiedrībām un lielajiem komersantiem, ja tas ietver sadarbību minētajās aktivitātēs ar MVU P&amp;I aktivitātēs)  ir attiecināms ne tikai uz pētniecības organizācijām (turpmāk - PO) kā lielajiem komersantiem, bet uz visiem lielajiem komersantiem. Lūdzam EM atbilstoši precizēt MKN projekta 2.4.apakšpunktu. Tāpat lūdzam izvērtēt, vai šajā pasākumā nav plānots atbalsts arī mid- caps uzņēmumiem, uz ko arī ir attiecināms augstākminētais nosacījums.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precizētajā MKN projektā ietverts nosacījums tikai par sadarbību ar mazajiem un vidējiem komersantiem, tomēr mērķa grupa ir plašāka un tajā ir minēti arī sīkie komersanti. Lūdzam izvērtēt nepieciešamību veikt atbilstošus precizējumus, t.sk. arī MKN projekta 5.punktā.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2.18. pētniecības rezultātu komercializācija – pētniecības rezultātā radīto zināšanu un tehnoloģiju pārnese tehnoloģiju tiesību komercializācijas ceļā, lai nodrošinātu pētniecības projekta sociālekonomisko atdevi, ieviešot radītās zināšanas un tehnoloģijas tirgū, tādējādi veicinot inovācijas uzņēmējdarbībā. Ar tehnoloģiju tiesību komercializāciju saprot zināšanu un tehnoloģiju pārnesi, ja pētniecības organizācija kā tehnoloģiju tiesību īpašnieks slēdz līgumu par tehnoloģiju tiesību izmantošanu vai atsavināšanu (intelektuālā īpašuma licences vai nodošanas līgums).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MKN projektā anotācijā minēto, ka uz šo MKN projektu attiecas EM izstrādātās vadlīnijas "Vadlīnijas (ieteikumi) tehnoloģiju tiesību komercializācijas darbību veikšanai", tad lūgums to skaidrot MKN projekta anotācijā. Tāpat vēršam uzmanību, ka vadlīnijās ir jāveic grozījumi, jo šobrīd spēkā esošā redakcija neparedz, ka tās tiek attiecinātas arī uz Eiropas Savienības kohēzijas politikas programmu 2021.-2027.gadam. Vienlaicīgi aicinām nodrošināt, ka aktualizējot vadlīnijas, tajās tiek atrunāti un ņemti vērā visi TM izziņas 14.punktā minētie aspekti.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mērķa grupa ir komersanti un pētniecības organizācijas ar nosacījumu, ja tās ietver sadarbību ar mazajiem/vidējiem komersantiem pētniecības un inovācijas aktivitātēs;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 iebildumu pie MKN projekta 2.4.apakšpunta (nosacījums par sadarbību P&amp;I darbībās ir attiecināms ne tikai uz PO, bet arī uz lielajiem komersantiem, kā arī par sadarbību ar sīkajiem komersantiem). Lūdzam veikt atbilstošu precizējumu pasākuma mērķa grupas formulējumu.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ietvaros plānotais kopējais attiecināmais finansējums ir 26 900 000 euro (t.sk. elastības finansējuma apjoms 4 242 811 euro), tai skaitā Eiropas Reģionālā attīstības fonda (turpmāk - ERAF) finansējums 22 865 000 euro t.sk. (t.sk. elastības finansējuma apjoms 3 606 389 euro) un valsts budžeta finansējums – 4 035 000 euro (t.sk. elastības finansējuma apjoms 636 422 euro). Maksimālais attiecināmais ERAF finansējuma apmērs nepārsniedz 85 % no projekta kopējā attiecināmā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iesniegumā pasākuma īstenošanai kopējo pasākuma pieejamo finansējumu plāno ne vairāk kā 22 657 189 euro apmērā, tai skaitā ERAF finansējumu – 19 258 610 euro apmērā un valsts budžeta finansējumu – 3 398 579 euro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kopējo elastības finansējuma apmēru atbilstoši DPP - 4 242 810 EUR. Atbilstošus precizējumus lūgums veikt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ietvaros plānotais kopējais attiecināmais finansējums ir 26 900 000 euro (t.sk. elastības finansējuma apjoms 4 242 811 euro), tai skaitā Eiropas Reģionālā attīstības fonda (turpmāk - ERAF) finansējums 22 865 000 euro t.sk. (t.sk. elastības finansējuma apjoms 3 606 389 euro) un valsts budžeta finansējums – 4 035 000 euro (t.sk. elastības finansējuma apjoms 636 422 euro). Maksimālais attiecināmais ERAF finansējuma apmērs nepārsniedz 85 % no projekta kopējā attiecināmā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iesniegumā pasākuma īstenošanai kopējo pasākuma pieejamo finansējumu plāno ne vairāk kā 22 657 189 euro apmērā, tai skaitā ERAF finansējumu – 19 258 610 euro apmērā un valsts budžeta finansējumu – 3 398 579 euro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VB elastības finansējuma apmēru atbilstoši DPP - 636 421 EUR. Atbilstošus precizējumus lūgums veikt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Pasākuma ietvaros sasniedzami šādi iznākuma rādītāji: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izteikt piedāvātajā redakcijā un atbilstoši precizēt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papildināt anotāciju ar skaidrojumu, ka 11.punktā ar vārdu “komersanti” tiek saprasts “uzņēmumi” atbilstoši Eiropas Savienības kohēzijas politikas programmu 2021.–2027.gadam noteikto rādītāju definīcijām un rādītāju aprakstiem.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Līdz 2024. gadam sasniedzamie iznākuma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 Atbalstīto komersantu skaits (tai skaitā: mikrouzņēmumi, mazi, vidēji un lieli uzņēmumi) – 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 Ar grantiem atbalstīto komersantu skaits – 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Līdz 2029. gadam sasniedzamais iznākuma 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11.2.1. Atbalstīto komersantu skaits (tai skaitā: mikrouzņēmumi, mazi, vidēji un lieli uzņēmumi) – 190;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11.2.2. Ar grantiem atbalstīto komersantu skaits – 190;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11.2.3. Komersantu skaits, kas sadarbojas ar pētniecības organizācijām – 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Projekta iesniedzējs pasākuma ietvaros ir Latvijas Investīciju un attīstības aģentūra, kuras darbības mērķis ir atbilstošs šo noteikumu </w:t>
            </w:r>
            <w:r w:rsidR="00000000" w:rsidRPr="00000000" w:rsidDel="00000000">
              <w:rPr>
                <w:rtl w:val="0"/>
              </w:rPr>
              <w:t xml:space="preserve">2.3.</w:t>
            </w:r>
            <w:r w:rsidR="00000000" w:rsidRPr="00000000" w:rsidDel="00000000">
              <w:rPr>
                <w:rtl w:val="0"/>
              </w:rPr>
              <w:t xml:space="preserve"> apakšpunktā ietvertajam termina skaidrojumam.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Savienības fondu 2021.—2027. gada plānošanas perioda vadības likumu projekta iesniedzējs kļūst par finansējuma saņēmēju, kad ir apstiprināts projekta iesniegums, tādēļ, lai izvairītos no interpretācijas iespējām ar 2.3.apakšpunktā noteikto, lūdzam salāgot terminoloģiju, papildinot 13.punktu ar informāciju "un kurš pēc projekta iesnieguma apstiprināšanas ir finansējuma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Pasākuma ietvaros finansējuma saņēmējam, kas nodrošina projekta īstenošanu atbalstāmas šādas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MK noteikumu projektā un anotācijā minētā nav izsekojams, kuras ir darbības, kurām atbalsts kvalificējams kā komercdarbības (t.sk. de minimis) atbalsts (saistībā ar vienkāršoto izmaksu piemērošanas iespējām un ierobežojumiem). Lūdzam to detalizētāk aprakstīt.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 informācijas un publicitātes pasākumu nodrošināšana, ievērojot nediskriminācijas principus (informācijas un publicitātes pasākumu nodrošināšana ir saskaņā ar saistošo normatīvo aktu un citu dokumentu noteiktajām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anotācijā šis aspekts nav detalizētāk aprakstīts, lūdzam skaidrot, ko praktiski nozīmē "informācijas un publicitātes pasākumu nodrošināšana, ievērojot nediskriminācijas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 uzņēmumu datu bāzu iegāde, datu monitorings un analīze;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kāda ir šī pasākuma ietvaros potenciāli iegādājamo datu bāzu atšķirība no pasākuma 1.2.3.1. ietvaros iegādājamajām datu bāzēm un vai nav saskatāms dubultā finansējuma risks.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Boboviča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16.5. IT sistēmu, programmu un rīku izstrāde, datu un informācijas uzkrāšana;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kas ietverts izziņas 38.punktā. Vēršam uzmanību, ka no 16.5.punkta redakcijas, pretēji izziņas skaidrojumā norādītajam, t.i., ka informācijas sistēmas tiks iegādātas,  joprojām ir nolasāms, ka finansējuma saņēmējs veiks IT sistēmu, programmu un rīku izstrādi. Lūdzam precizēt MK noteikumu projektu atbilstoši izziņā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16.5. IT sistēmu, programmu un rīku izstrāde, datu un informācijas uzkrāšana;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Kontekstā ar EM skaidrojumu izziņas 38.punktā, ka šo darbību ietvaros  ir paredzēts iegādāties IT sistēmas, programmas, rīku izstrādes pakalpojumus, lai nodrošinātu  šī pasākuma īstenošanu (piemēram, business.gov.lv sistēmas izveide, uzturēšana, pilnveidošana). tad atbilstoši mūsu rīcībā esošajai informācijai,  business.gov.lv LIAA jau ir izveidota un tā darbojas, kā ari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LIAA šo platformu izmanto savai komunikācijai ar komersantiem par visām atbalsta programmām, ne tikai par šo. Vēršam uzmanību, ka IT sistēmāmu uzturēšanas izmaksas no pasākuma finansējuma nav attiecināmas. Tāpat lūdzam sniegt informāciju aptuvenās aplēses par šādu IT sistēmu, programmu un rīku izmaksām un sagaidāmajiem ieguvumiem.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16.8. informācijas un konsultāciju sniegšana pētniecības organizācijām, pētniekiem un komersantiem par tehnoloģiju pārnesi un inovāciju, tostarp par pieejamajiem atbalsta instrumentiem;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šīs darbības ietvaros nav konstatējama pārklāšanās ar pasākuma 1.2.3.1. ietvaros atbalstāmo darbību “izglītojošu un mācību programmu īstenošana, kas vērstas uz uzņēmējdarbības un inovāciju attīstību tikai 4.1. apakšpunktā minētas aktivitātes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risks par potenciālu darbību un attiecināmo izmaksu pārklāšanos starp LIAA veicamajām aktivitātēm 1.2.3.1. un 1.2.1.4. ir saskatāms saistībā ar vairākām atbalstāmajām darbībām, lūdzam konceptuāli skaidrot, kā tiks nodrošināta darbību nepārklāšanās.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Boboviča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16.9. komercializācijas atbalsta pakalpojumu nodrošināšana sīkajiem (mikro), mazajiem, vidējiem un lielajiem komersantiem un publisko pētniecības organizācijām;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EM precizējums par komercializācijas atbalsta pakalpojumu nodrošināšanu sīkajiem, mazajiem, vidējiem komersantiem un lielajiem komersantiem, kas nav PO, ir pretrunā ar MKN 28.punktu un visu IV. sadaļu, kas paredz komercializāciju PO. Tāpat no MKN V.nodaļas " Atbalsta pasākumu nodrošināšana komersantiem jaunu produktu izstrādei un komercializācijai" nolasāms, ka ar komercializāciju komersantu gadījumā saprotams atbalsts vaučeru veidā (MKN 16.11.punts). Tāpat lūdzam šo punktu papildināt ar atsauci uz MKN projekta 5. punkta nosacījumu (atbalsts lielajiem komersantiem un PO pie noteiktu nosacījumu izpildes).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EM precizēt MKN 16.9 punkta redakciju,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"16.9. pētījumu komercializācijas atbalsta pakalpojumu nodrošināšana publiskajām pētniecības organizācijām, ievērojot šo noteikumu 5.punkta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16.10. inovāciju vaučeru atbalsta pakalpojumu nodrošināšana sīkajiem (mikro), mazajiem, vidējiem un lielajiem komersantiem;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16.10.apakšpunktā svītrot vārdus "un lielajiem", atsaucoties uz MKN projekta V.sadaļas "Atbalsta pasākumu nodrošināšana komersantiem jaunu produktu izstrādei un komercializācijai" 49.punktā minēto, ka aktivitātes mērķa grupa ir MVU.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16.13. jaunuzņēmumu darbības atbalstam noteiktās administrējošās iestādes funkciju veikšana augsti kvalificētu darba ņēmēju piesaistei.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MKN 16.13.punkta izpratnē ir saprotams ar jaunuzņēmumu darbības atbalstam noteikto administrējošo iestādi, un šādu skaidrojumu iekļaut vismaz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Šo noteikumu </w:t>
            </w:r>
            <w:r w:rsidR="00000000" w:rsidRPr="00000000" w:rsidDel="00000000">
              <w:rPr>
                <w:rtl w:val="0"/>
              </w:rPr>
              <w:t xml:space="preserve">16.1.</w:t>
            </w:r>
            <w:r w:rsidR="00000000" w:rsidRPr="00000000" w:rsidDel="00000000">
              <w:rPr>
                <w:rtl w:val="0"/>
              </w:rPr>
              <w:t xml:space="preserve"> un </w:t>
            </w:r>
            <w:r w:rsidR="00000000" w:rsidRPr="00000000" w:rsidDel="00000000">
              <w:rPr>
                <w:rtl w:val="0"/>
              </w:rPr>
              <w:t xml:space="preserve">16.2.</w:t>
            </w:r>
            <w:r w:rsidR="00000000" w:rsidRPr="00000000" w:rsidDel="00000000">
              <w:rPr>
                <w:rtl w:val="0"/>
              </w:rPr>
              <w:t xml:space="preserve"> apakšpunktā minētajām darbībām finansējuma saņēmējam finansējums nepārsniedz 20 % no šo noteikumu </w:t>
            </w:r>
            <w:r w:rsidR="00000000" w:rsidRPr="00000000" w:rsidDel="00000000">
              <w:rPr>
                <w:rtl w:val="0"/>
              </w:rPr>
              <w:t xml:space="preserve">7.</w:t>
            </w:r>
            <w:r w:rsidR="00000000" w:rsidRPr="00000000" w:rsidDel="00000000">
              <w:rPr>
                <w:rtl w:val="0"/>
              </w:rPr>
              <w:t xml:space="preserve"> punktā minētā kopējā pasākuma īstenošanai minētā finansējuma atbilstoši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55.panta 1.punktam.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Vēršam uzmanību, ka Regulas Nr. 2021/1060 55.panta 1.punktā noteikta iespēja piemērot vienoto izmaksu likmi personāla atlīdzības izmaksām līdz 20 % no pārējām tiešajām attiecināmajām izmaksām, neieskaitot personāla atlīdzības izmaksas. Lūdzam precizēt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Papildus tam piemērojamās vienotās likmes noteikšanai aprēķins nav jāveic ar nosacījumu, ka darbības tiešās izmaksas neietver publiskus būvdarbu līgumus vai piegādes vai pakalpojumu līgumus, kuru vērtība pārsniedz MK 28.02.2017. noteikumos Nr.105 noteiktās robežvērtības. Skaidrojam, ka gadījumā, ja robežvērtības ir pārsniegtas vienoto personāla atlīdzības likmi var piemērot, bet tās pamatošanai nepieciešams izstrādāt metodiku. Ņemot vērā iepriekš minēto,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skaidrot, vai plānotās iepirkumu izmaksas neietver publiskus būvdarbu līgumus vai piegādes vai pakalpojumu līgumus, kuru vērtība pārsniedz MK 28.02.2017. noteikumos Nr.105 noteiktās robežvērtības;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saskaņot konkrētu likmes apmēru ar VI.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Šo noteikumu </w:t>
            </w:r>
            <w:r w:rsidR="00000000" w:rsidRPr="00000000" w:rsidDel="00000000">
              <w:rPr>
                <w:rtl w:val="0"/>
              </w:rPr>
              <w:t xml:space="preserve">16.1.</w:t>
            </w:r>
            <w:r w:rsidR="00000000" w:rsidRPr="00000000" w:rsidDel="00000000">
              <w:rPr>
                <w:shd w:fill="#ffffff" w:val="clear"/>
                <w:rtl w:val="0"/>
              </w:rPr>
              <w:t xml:space="preserve"> un </w:t>
            </w:r>
            <w:r w:rsidR="00000000" w:rsidRPr="00000000" w:rsidDel="00000000">
              <w:rPr>
                <w:rtl w:val="0"/>
              </w:rPr>
              <w:t xml:space="preserve">16.2.</w:t>
            </w:r>
            <w:r w:rsidR="00000000" w:rsidRPr="00000000" w:rsidDel="00000000">
              <w:rPr>
                <w:rtl w:val="0"/>
              </w:rPr>
              <w:t xml:space="preserve"> apakšpunktā minēto darbību īstenošanai attiecināmas šādas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regulas Nr. 2021/1060 55.panta 1.punktā paredzēta iespēja piemērot vienoto likmi personāla atlīdzības izmaksu segšanai, savukārt no 17.punktā minētā izriet, ka likmi plānots piemērot 16.1 un 16.2. apakšpunktā minētajām darbībām, un 18.punktā ir skaidrots, ka tajās ietilpst arī darba braucieni un komandējumi, dalības maksas pasākumos, kas nav personāla atlīdzības izmaksas, kā arī ārpakalpojuma izmaksas personāla kvalifikācijas celšanai un sadarbības tīklu veidošanai un ārējo ekspertu piesaistes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šīs izmaksas nav personāla atlīdzības izmaksas, līdz ar to aicinām pārskatīt redakcijas.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darba braucienu un komandējumu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norādīto informāciju, lūdzam precizēt, ka ārvalstu komandējumu izmaksas attiecināmas tikai projekta īstenošanas personālam un projekta vadītājam.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 ārpakalpojuma izmaksas projekta vadībā un īstenošanā iesaistītā personāla kvalifikācijas celšanai un sadarbības tīklu veidošanai;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ārpakalpojuma izmaksas projekta vadībā un īstenošanā iesaistītā personāla kvalifikācijas celšanai veicinās pasākuma mērķa un rādītāju sasniegšanu. Tāpat lūgums skaidrot, kā tiks nodrošināta demarkācija ar sadarbības tīklu programmu, kuru plānots īstenot Atveseļošanas fonda plāna 5.1.1.2.i. investīcijas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18.5. ārējo ekspertu piesaistes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piemērojot vienoto personāla atlīdzības likmi ir būtiski nodrošināt izmaksu un funkciju nepārklāšanos.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nav atbalstāms skaidrojums, kas norādīts izziņas 43.punktā "Minētās funkcijas, atkarībā no jautājuma specifikas var tikt veiktas no īstenošanas personāla vai ārpakalpojumu izmaksām", līdz ar to lūdzam anotācijā detalizēti skaidrot, kā izmaksas un funkcijas tiks nošķirtas, t.sk. no 18.5. apakšpunktā minētajām ārējo ekspertu piesaistes izmaksām, 18.6..apakšpunktā minētajiem pakalpojumiem, 22.1. apakšpunktā minētie konsultanti, 22.4. minētie konsultāciju pakalpojumi, 35.5. apakšpunktā minētie eksperti, kas tiks piesaistīti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18.5. ārējo ekspertu piesaistes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kādos gadījumos plānota ārējo ekspertu iesaiste, īpaši ņemot vērā, ka MKN projekta 18.6.apakšpunkts jau atrunā iespējamo ārpakalpojumu (piemēram, juridisko pakalpojumu, tehnoloģiju pārneses speciālistu piesaiste, mārketinga materiālu izgatavošanas, mārketinga aktivitāšu un citu ārpakalpojumu) izmaksas un piegāžu izmaksas, kā arī MKN projekta 43.punkts atrunā iespējas finansējuma saņēmējam piesaistīt EK ekspertu datubāzē iekļautus ekspertus šo noteikumu 16.9., un 16.10. apakšpunktā minēto jautājumu izvērtēšanai. Atsaucoties uz augstākminēto lūdzam EM izvērtēt nepieciešamību svītrot 18.5.apakšpunktu, jo tas iespējami dublē MKN projekta 18.6.punktā un 43.punktā jau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Šo noteikumu </w:t>
            </w:r>
            <w:r w:rsidR="00000000" w:rsidRPr="00000000" w:rsidDel="00000000">
              <w:rPr>
                <w:rtl w:val="0"/>
              </w:rPr>
              <w:t xml:space="preserve">16.1.</w:t>
            </w:r>
            <w:r w:rsidR="00000000" w:rsidRPr="00000000" w:rsidDel="00000000">
              <w:rPr>
                <w:rtl w:val="0"/>
              </w:rPr>
              <w:t xml:space="preserve"> un </w:t>
            </w:r>
            <w:r w:rsidR="00000000" w:rsidRPr="00000000" w:rsidDel="00000000">
              <w:rPr>
                <w:rtl w:val="0"/>
              </w:rPr>
              <w:t xml:space="preserve">16.2.</w:t>
            </w:r>
            <w:r w:rsidR="00000000" w:rsidRPr="00000000" w:rsidDel="00000000">
              <w:rPr>
                <w:rtl w:val="0"/>
              </w:rPr>
              <w:t xml:space="preserve"> apakšpunktā minēto atbalstāmo darbību īstenošanai ir attiecināmas netiešās izmaksas 15% apmērā no tiešajām attiecināmajām personāla izmaksām saskaņā Regulas Nr. 2021/1060 54. panta b) 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atrunāt netiešo izmaksu aprēķināšanas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Šo noteikumu </w:t>
            </w:r>
            <w:r w:rsidR="00000000" w:rsidRPr="00000000" w:rsidDel="00000000">
              <w:rPr>
                <w:rtl w:val="0"/>
              </w:rPr>
              <w:t xml:space="preserve">16.1.</w:t>
            </w:r>
            <w:r w:rsidR="00000000" w:rsidRPr="00000000" w:rsidDel="00000000">
              <w:rPr>
                <w:rtl w:val="0"/>
              </w:rPr>
              <w:t xml:space="preserve"> un </w:t>
            </w:r>
            <w:r w:rsidR="00000000" w:rsidRPr="00000000" w:rsidDel="00000000">
              <w:rPr>
                <w:rtl w:val="0"/>
              </w:rPr>
              <w:t xml:space="preserve">16.2.</w:t>
            </w:r>
            <w:r w:rsidR="00000000" w:rsidRPr="00000000" w:rsidDel="00000000">
              <w:rPr>
                <w:rtl w:val="0"/>
              </w:rPr>
              <w:t xml:space="preserve"> apakšpunktā minēto atbalstāmo darbību īstenošanai ir attiecināmas netiešās izmaksas 15% apmērā no tiešajām attiecināmajām personāla izmaksām saskaņā Regulas Nr. 2021/1060 54. panta b) 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redakciju, jo pašlaik no redakcijām izriet, ka personāla izmaksās ietilpst visas 18.punktā minētās, taču netiešās izmaksas būtu aprēķināmas tikai no projekta vadības un īstenošanas personāla atlīdzības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šo noteikumu </w:t>
            </w:r>
            <w:r w:rsidR="00000000" w:rsidRPr="00000000" w:rsidDel="00000000">
              <w:rPr>
                <w:rtl w:val="0"/>
              </w:rPr>
              <w:t xml:space="preserve">16.12.</w:t>
            </w:r>
            <w:r w:rsidR="00000000" w:rsidRPr="00000000" w:rsidDel="00000000">
              <w:rPr>
                <w:rtl w:val="0"/>
              </w:rPr>
              <w:t xml:space="preserve"> apakšpunktā minēto darbību ietvaros ir attiecināmas šādas izmaksu pozīcijas: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papildināt MK noteikumu projektu ar informāciju, kādas izmaksas ir paredzētas MK noteikumu projekta 16.6., 16.7., 16.8., 16.9.,  16.10., 16.11 un 16.13.apakšpunktā norādīto darbību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Boboviča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22.7. komandējuma izmaksas finansējuma saņēmēja darbiniekiem, tai skaitā transports, naktsmītnes un dienas nauda.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šīs komandējuma izmaksas ir tās pašas, kas minētas 18.3.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Pasākuma atbalstāmo darbību ietvaros ir attiecināms pievienotās vērtības nodoklis tiešajām attiecināmajām izmaksām atbilstoši Regulas Nr. 2021/1060 64.panta 1.punkta c) apakšpunkta nosacījumiem, ja tas nav atgūstams atbilstoši normatīvajiem aktiem nodokļu un nodevu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Vadlīniju Nr.1.2. “Vadlīnijas attiecināmo izmaksu noteikšanai Eiropas Savienības kohēzijas politikas programmas 2021.-2027.gada plānošanas periodā" 19.1.apakšpunktā noteikto, proti, ka saskaņā ar Kopīgo noteikumu regulas 64.panta 1.punkta c) apakšpunktu PVN ir attiecināmas šādos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-Projektiem, kuru kopējās izmaksas ir mazākas par 5 milj. EUR (ieskaitot PVN). Savukārt gadījumos, kad finansējuma saņēmējs ir valsts atbalsta (t.sk. de minimis) saņēmējs PVN tiešajām attiecināmajām izmaksām var tikt attiecināms tikai tādā gadījumā, ja tas nav atgūstams atbilstoši normatīvajiem aktiem nodokļu politikas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-Projektiem, kuru kopējās izmaksas ir vismaz 5 milj. EUR (ieskaitot PVN), ja tas nav atgūstams saskaņā ar attiecīgās valsts tiesību aktiem PVN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-Gala saņēmēju veiktas investīcijas Finanšu instrumentu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aicinām izvērtēt, vai 23.punkta redakcija nebūtu precizējama.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29.4.2. pētniecības organizācija vai pētniecības infrastruktūra kā pārdevēja var pierādīt, ka tā ir vienojusies par kompensāciju godīgas konkurences apstākļos, lai iegūtu maksimālu saimniecisko labumu tajā brīdī, kad tiek noslēgts līgums, izņemot projektus, kas paredz efektīvu sadarbību, kad sadarbības nolīgums sadarbības komersantam dod pirmpirkuma tiesības attiecībā uz intelektuālā īpašuma tiesībām. Maksimāla saimnieciska labuma gūšanu var pamatot, veicot efektīvas pārrunas, piesaistot neatkarīgu ekspertu tirgus cenas noteikšanai vai ar aprēķiniem pamatojot izvēli atsavināt intelektuālo īpašumu;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29.4.2.apakšpunktā ietvertais papildinājums: "izņemot projektus, kas paredz efektīvu sadarbību, kad sadarbības nolīgums sadarbības komersantam dod pirmpirkuma tiesības attiecībā uz intelektuālā īpašuma tiesībām" neatbilst Eiropas Komisijas 28.10.2022. paziņojuma  "Pētniecībai, izstrādei un inovācijai piešķiramā valsts atbalsta nostādnes" (2022/C 414/01) 30.punkta d)apakšpunktam: "gadījumos, kad sadarbības nolīgums sadarbības uzņēmumam dod pirmpirkuma tiesības attiecībā uz intelektuālā īpašuma tiesībām, ko radījušas sadarbības pētniecības organizācijas vai pētniecības infrastruktūras, — šie subjekti izmanto abpusējas tiesības lūgt saimnieciski izdevīgākus piedāvājumus no trešām personām tā, lai sadarbības uzņēmumam būtu attiecīgi jāpieskaņo savs piedāvājums" un nenodrošina to, ka pirmpirkuma gadījumā pētniecības organizācijas saņemtā kompensācija ir līdzvērtīga tirgus cenai. Ievērojot izteikto komentāru, lūdzam precizēt MK noteikumu projektu un sniegt atbilstošu skaidrojumu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Finansējuma apjoms vienam tehnoloģiju pārneses un ar saimniecisku darbību nesaistītam pētniecības komercializācijas projekta pieteikumam ir līdz 200 000 euro ar maksimāli pieļaujamo atbalsta intensitāti vienam projektam līdz 90 %. Šajā punktā minēto finansējumu var saņemt: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Nepārprotamas izpratnes nodrošināšanai par to, kāpēc pētniecības komercializācijas projekts būtu uzskatāms par  ar saimniecisku darbību nesaistītu, lūdzam anotācijas 1.3.sadaļā ietvert izziņas 78.punktā sniegto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Šo noteikumu </w:t>
            </w:r>
            <w:r w:rsidR="00000000" w:rsidRPr="00000000" w:rsidDel="00000000">
              <w:rPr>
                <w:rtl w:val="0"/>
              </w:rPr>
              <w:t xml:space="preserve">30.</w:t>
            </w:r>
            <w:r w:rsidR="00000000" w:rsidRPr="00000000" w:rsidDel="00000000">
              <w:rPr>
                <w:rtl w:val="0"/>
              </w:rPr>
              <w:t xml:space="preserve"> punktā minēto finansējuma apjomu vienam tehnoloģiju pārneses un ar saimniecisku darbību nesaistītam pētniecības komercializācijas projekta pieteikumam iespējams palielināt vēl par 200 000 euro ar maksimāli pieļaujamo atbalsta intensitāti vienam projektam līdz 90 %, 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MKN 30. (finansējums vienam komercializācijas projektam līdz 200 000 eur ar maksimāli pieļaujamo atbalsta intensitāti vienam projektam līdz 90 %) un 31.punkts (finansējumu iespējams palielināt vēl par 200 000 euro), -kopā atbalsts, ko piešķir LIAA,  nonāk pretrunā ar nacionālo* un EK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fondu 2021-207. gada plānošanas perioda vadības likuma 12.pantā ir noteikta sadarbības iestāde un tās funkcijas, kura atbilstoši normatīviem aktiem izvērtē projektus un piešķir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**Vienīgais izņēmums, kad LIAA varētu piešķirt atbalstu būtu, ja tas tiktu sniegts kā komercdarbības atbalsts saskaņā ar </w:t>
            </w:r>
            <w:r w:rsidR="00000000" w:rsidRPr="00000000" w:rsidDel="00000000">
              <w:rPr>
                <w:i w:val="1"/>
                <w:rtl w:val="0"/>
              </w:rPr>
              <w:t xml:space="preserve">de minimis</w:t>
            </w:r>
            <w:r w:rsidR="00000000" w:rsidRPr="00000000" w:rsidDel="00000000">
              <w:rPr>
                <w:rtl w:val="0"/>
              </w:rPr>
              <w:t xml:space="preserve"> regulējumu, atbilstoši tam kā norādīts Regulas Nr.1060/2021 2.panta 9.punkta d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Šo noteikumu </w:t>
            </w:r>
            <w:r w:rsidR="00000000" w:rsidRPr="00000000" w:rsidDel="00000000">
              <w:rPr>
                <w:rtl w:val="0"/>
              </w:rPr>
              <w:t xml:space="preserve">30.</w:t>
            </w:r>
            <w:r w:rsidR="00000000" w:rsidRPr="00000000" w:rsidDel="00000000">
              <w:rPr>
                <w:rtl w:val="0"/>
              </w:rPr>
              <w:t xml:space="preserve"> un </w:t>
            </w:r>
            <w:r w:rsidR="00000000" w:rsidRPr="00000000" w:rsidDel="00000000">
              <w:rPr>
                <w:rtl w:val="0"/>
              </w:rPr>
              <w:t xml:space="preserve">31.</w:t>
            </w:r>
            <w:r w:rsidR="00000000" w:rsidRPr="00000000" w:rsidDel="00000000">
              <w:rPr>
                <w:rtl w:val="0"/>
              </w:rPr>
              <w:t xml:space="preserve"> punktā minēto atbalstāmo darbību ietvaros radušās izmaksas ir attiecināmas atbilstoši atbildīgās iestādes apstiprinātajai vienkāršoto izmaksu metodikai, ja attiecināms, kas saskaņota ar vadošo iestādi.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šajā gadījumā saprotams ar vārdiem "ja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 produkta rūpnieciskā dizaina izstrāde – produkta estētiskā un funkcionālā risinājuma izstrādei, vienlaikus uzlabojot vai radot inženiertehnisko, lietošanas, ergonomikas un zīmola attīstības risinājumu. Produkta rūpnieciskais dizains ir būtiski uzlabots salīdzinājumā ar esošo vai citiem tirgū esošajiem produktu dizainiem un rada konkurētspējas priekšrocības;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atbalsts paredzēts pētniecības organizācijām, lai turpinātu ar saimniecisko darbību nesaistītus tehnoloģiju pārneses un pētniecības projektus, nav skaidrs, kā produkta rūpnieciskā dizaina izstrādes izmaksu attiecināšana joprojām izpilda šo nosacījumu. Vēršam uzmanību, ka izziņas 94.punktā skaidrotais, ka nepieciešams sasniegt pēc iespējas augstāku tehnoloģiju līmeni, līdz pat TRL9, liecina par to, ka plānots atbalstīt projektus, kas tiks sekmīgi ekspluatēti tirgū. Ja šādas izmaksas tiek attiecinātas un atbalstu plānots piešķirt projektiem ar augstu tehnoloģiju attīstības līmeni, lūdzam precizēt MK noteikumu projektu un uz 28.punktā minētajiem atbalsta saņēmējiem attiecināt komercdarbības atbalsta kontroles regulējumu, piemēram,  Eiropas Komisijas 2014. gada 17. jūnija Regulas (ES) Nr. 651/2014, ar ko noteiktas atbalsta kategorijas atzīst par saderīgām ar iekšējo tirgu, piemērojot Līguma 107. un 108. pantu, 25.panta nosacījumus. Pretējā gadījumā pastāv nelikumīga komercdarbības atbalsta piešķiršanas risks MK noteikumu projekta 28.punktā minētajiem subjektiem.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35.4. produkta vai tehnoloģijas sertificēšanas un testēšanas pakalpojumi;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atbalsts paredzēts pētniecības organizācijām, lai turpinātu ar saimniecisko darbību nesaistītus tehnoloģiju pārneses un pētniecības projektus, nav skaidrs, kā produkta vai tehnoloģijas sertificēšanas un testēšanas pakalpojumu izmaksu attiecināšana joprojām izpilda šo nosacījumu. Vēršam uzmanību, ka izziņas 95.punktā skaidrotais, ka nepieciešams sasniegt pēc iespējas augstāku tehnoloģiju līmeni, līdz pat TRL9, liecina par to, ka plānots atbalstīt projektus, kas tiks sekmīgi ekspluatēti tirgū. Ja šādas izmaksas tiek attiecinātas un atbalstu plānots piešķirt projektiem ar augstu tehnoloģiju attīstības līmeni, lūdzam precizēt MK noteikumu projektu un uz 28.punktā minētajiem atbalsta saņēmējiem attiecināt komercdarbības atbalsta kontroles regulējumu, piemēram,  Eiropas Komisijas 2014. gada 17. jūnija Regulas (ES) Nr. 651/2014, ar ko noteiktas atbalsta kategorijas atzīst par saderīgām ar iekšējo tirgu, piemērojot Līguma 107. un 108. pantu, 25.panta nosacījumus. Pretējā gadījumā pastāv nelikumīga komercdarbības atbalsta piešķiršanas risks MK noteikumu projekta 28.punktā minētajiem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35.5. komercializācijas piedāvājuma sagatavošanai, tai skaitā ekspertu piesaistei komercializācijas piedāvājuma virzīšanai tirgū (ja to paredz komercializācijas stratēģija);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atbalsts paredzēts pētniecības organizācijām, lai turpinātu ar saimniecisko darbību nesaistītus tehnoloģiju pārneses un pētniecības projektus, nav skaidrs, kā komercializācijas piedāvājuma sagatavošanas izmaksu attiecināšana joprojām izpilda šo nosacījumu. Vēršam uzmanību, ka izziņas 95.punktā skaidrotais, ka nepieciešams sasniegt pēc iespējas augstāku tehnoloģiju līmeni, līdz pat TRL9, liecina par to, ka plānots atbalstīt projektus, kas tiks sekmīgi ekspluatēti tirgū. Ja šādas izmaksas tiek attiecinātas un atbalstu plānots piešķirt projektiem ar augstu tehnoloģiju attīstības līmeni, lūdzam precizēt MK noteikumu projektu un uz 28.punktā minētajiem atbalsta saņēmējiem attiecināt komercdarbības atbalsta kontroles regulējumu, piemēram,  Eiropas Komisijas 2014. gada 17. jūnija Regulas (ES) Nr. 651/2014, ar ko noteiktas atbalsta kategorijas atzīst par saderīgām ar iekšējo tirgu, piemērojot Līguma 107. un 108. pantu, 25.panta nosacījumus. Pretējā gadījumā pastāv nelikumīga komercdarbības atbalsta piešķiršanas risks MK noteikumu projekta 28.punktā minētajiem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Lai nodrošinātu attiecināmo izmaksu nepārklāšanos, šo noteikumu </w:t>
            </w:r>
            <w:r w:rsidR="00000000" w:rsidRPr="00000000" w:rsidDel="00000000">
              <w:rPr>
                <w:rtl w:val="0"/>
              </w:rPr>
              <w:t xml:space="preserve">30.</w:t>
            </w:r>
            <w:r w:rsidR="00000000" w:rsidRPr="00000000" w:rsidDel="00000000">
              <w:rPr>
                <w:rtl w:val="0"/>
              </w:rPr>
              <w:t xml:space="preserve"> punktā minētā ar saimniecisko darbību nesaistītā pētniecības pieteikuma ietvaros tehnoloģijas gatavības līmenis (atbilstoši starptautiskajam standartam ISO 16290:2013) pieteikuma sākumā ir secīgi nākamais tehnoloģijas gatavības līmenis (atbilstoši starptautiskajam standartam ISO 16290:2013) pēc šo noteikumu </w:t>
            </w:r>
            <w:r w:rsidR="00000000" w:rsidRPr="00000000" w:rsidDel="00000000">
              <w:rPr>
                <w:rtl w:val="0"/>
              </w:rPr>
              <w:t xml:space="preserve">29.2.</w:t>
            </w:r>
            <w:r w:rsidR="00000000" w:rsidRPr="00000000" w:rsidDel="00000000">
              <w:rPr>
                <w:rtl w:val="0"/>
              </w:rPr>
              <w:t xml:space="preserve"> apakšpunktā minētā iepriekš veiktā pētniecības projekta tehnoloģijas gatavības līmeņa (atbilstoši starptautiskajam standartam ISO 16290:2013) pētniecības projekta beigās.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izziņas 94. un 95.punktā norādīto par Ekonomikas ministrijas plānoto par nepieciešamību sasniegt pēc iespējas augstāku tehnoloģiju līmeni, līdz pat TRL9, kas liecina par sekmīgu sistēmas ekspluatāciju, nav skaidrs, kā aktivitātes ietvaros, ļaujot sasniegt šādu  tehnoloģijas gatavības līmeni,  joprojām tiks nodrošināts tas, ka aktivitātes ietvaros tiek īstenoti ar saimniecisko darbību nesaistīti tehnoloģiju pārneses un pētniecības projekti, kuru ietvaros pētniecības organizācijas īsteno darbības, kurām nav saimnieciska rakstura. Ievērojot izteikto iebildumu, lūdzam pārskatīt MK noteikumu projekta 37.punktā noteikto, kā arī sniegt atbilstošu skaidrojumu anotācijā. Gadījumā, ja atbalstu plānots piešķirt projektiem ar augstu tehnoloģiju attīstības līmeni, lūdzam precizēt MK noteikumu projektu un uz 28.punktā minētajiem atbalsta saņēmējiem attiecināt komercdarbības atbalsta kontroles regulējumu, piemēram,  Eiropas Komisijas 2014. gada 17. jūnija Regulas (ES) Nr. 651/2014, ar ko noteiktas atbalsta kategorijas atzīst par saderīgām ar iekšējo tirgu, piemērojot Līguma 107. un 108. pantu, 25.panta nosacījumus. Pretējā gadījumā pastāv nelikumīga komercdarbības atbalsta piešķiršanas risks 28.punktā minētajiem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Finansējuma saņēmējs šo noteikumu </w:t>
            </w:r>
            <w:r w:rsidR="00000000" w:rsidRPr="00000000" w:rsidDel="00000000">
              <w:rPr>
                <w:rtl w:val="0"/>
              </w:rPr>
              <w:t xml:space="preserve">16.9.</w:t>
            </w:r>
            <w:r w:rsidR="00000000" w:rsidRPr="00000000" w:rsidDel="00000000">
              <w:rPr>
                <w:rtl w:val="0"/>
              </w:rPr>
              <w:t xml:space="preserve">, un </w:t>
            </w:r>
            <w:r w:rsidR="00000000" w:rsidRPr="00000000" w:rsidDel="00000000">
              <w:rPr>
                <w:rtl w:val="0"/>
              </w:rPr>
              <w:t xml:space="preserve">16.10.</w:t>
            </w:r>
            <w:r w:rsidR="00000000" w:rsidRPr="00000000" w:rsidDel="00000000">
              <w:rPr>
                <w:rtl w:val="0"/>
              </w:rPr>
              <w:t xml:space="preserve"> apakšpunktā minētās darbības ietvaros var piesaistīt Eiropas Komisijas ekspertu datubāzē iekļautu ekspertu ar atbilstošu izglītību, profesionālo pieredzi un kompetenci.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Konceptuāli: Lūdzam skaidrot, kā konceptuāli EM plāno nodrošināt ārējo ekspertu iesaisti, ņemot vērā jauno inovāciju pārvaldības modeli. Ņemot vērā, ka ārējo ekspertu piesaiste P&amp;A&amp;I jomā tiek paredzēta arī citos EM pārziņā esošajos/plānotajos pasākumos (piemēram, 1.2.1.1.pasākuma "Atbalsts jaunu produktu attīstībai un internacionalizācijai" 1.kārtas ietvaros; ERAF finansējums 7 milj. EUR, lūdzam izvērtēt iespēju šādas procesus organizēt centralizēti, kā arī nodrošināt izmaksu efektivitāti un optimizēšanu.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Tehnoloģiju pārneses un ar saimniecisko darbību nesaistītu pētniecības pieteikumu vērtēšanas komisija izvērtē un sniedz rekomendācijas par šo noteikumu </w:t>
            </w:r>
            <w:r w:rsidR="00000000" w:rsidRPr="00000000" w:rsidDel="00000000">
              <w:rPr>
                <w:rtl w:val="0"/>
              </w:rPr>
              <w:t xml:space="preserve">30.</w:t>
            </w:r>
            <w:r w:rsidR="00000000" w:rsidRPr="00000000" w:rsidDel="00000000">
              <w:rPr>
                <w:rtl w:val="0"/>
              </w:rPr>
              <w:t xml:space="preserve"> punktā minētā finansējuma piešķiršanu šo noteikumu </w:t>
            </w:r>
            <w:r w:rsidR="00000000" w:rsidRPr="00000000" w:rsidDel="00000000">
              <w:rPr>
                <w:rtl w:val="0"/>
              </w:rPr>
              <w:t xml:space="preserve">35.</w:t>
            </w:r>
            <w:r w:rsidR="00000000" w:rsidRPr="00000000" w:rsidDel="00000000">
              <w:rPr>
                <w:rtl w:val="0"/>
              </w:rPr>
              <w:t xml:space="preserve"> un </w:t>
            </w:r>
            <w:r w:rsidR="00000000" w:rsidRPr="00000000" w:rsidDel="00000000">
              <w:rPr>
                <w:rtl w:val="0"/>
              </w:rPr>
              <w:t xml:space="preserve">34.</w:t>
            </w:r>
            <w:r w:rsidR="00000000" w:rsidRPr="00000000" w:rsidDel="00000000">
              <w:rPr>
                <w:rtl w:val="0"/>
              </w:rPr>
              <w:t xml:space="preserve"> punktā minētajām atbalstāmajām darbībām šo noteikumu </w:t>
            </w:r>
            <w:r w:rsidR="00000000" w:rsidRPr="00000000" w:rsidDel="00000000">
              <w:rPr>
                <w:rtl w:val="0"/>
              </w:rPr>
              <w:t xml:space="preserve">28.</w:t>
            </w:r>
            <w:r w:rsidR="00000000" w:rsidRPr="00000000" w:rsidDel="00000000">
              <w:rPr>
                <w:rtl w:val="0"/>
              </w:rPr>
              <w:t xml:space="preserve"> punktā minētajiem finansējuma pretendentiem.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tehnoloģiju pārneses un ar saimniecisko darbību nesaistītu pētniecības pieteikumu vērtēšanas komisijai primāri būtu nepieciešams izvērtēt projekta pieteikuma atbilstību MK noteikumu projekta 29.punktā ietvertajiem nosacījumiem. Attiecīgi aicinām to nepārprotami norādīt MK noteikumu projektā un tā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Lēmumu par šo noteikumu </w:t>
            </w:r>
            <w:r w:rsidR="00000000" w:rsidRPr="00000000" w:rsidDel="00000000">
              <w:rPr>
                <w:rtl w:val="0"/>
              </w:rPr>
              <w:t xml:space="preserve">30.</w:t>
            </w:r>
            <w:r w:rsidR="00000000" w:rsidRPr="00000000" w:rsidDel="00000000">
              <w:rPr>
                <w:rtl w:val="0"/>
              </w:rPr>
              <w:t xml:space="preserve"> punktā minēto finansējuma piešķiršanu šo noteikumu </w:t>
            </w:r>
            <w:r w:rsidR="00000000" w:rsidRPr="00000000" w:rsidDel="00000000">
              <w:rPr>
                <w:rtl w:val="0"/>
              </w:rPr>
              <w:t xml:space="preserve">33.</w:t>
            </w:r>
            <w:r w:rsidR="00000000" w:rsidRPr="00000000" w:rsidDel="00000000">
              <w:rPr>
                <w:rtl w:val="0"/>
              </w:rPr>
              <w:t xml:space="preserve"> punktā minēto darbību īstenošanai pieņem finansējuma saņēmējs saskaņā ar finansējuma saņēmēja izstrādātu atbalsta piešķiršanas kārtību. Finansējuma saņēmējs pirms tehnoloģiju pārneses vai ar saimniecisko darbību nesaistīta pētniecības pieteikuma iesniegšanas slēdz sadarbības līgumu ar šo noteikumu </w:t>
            </w:r>
            <w:r w:rsidR="00000000" w:rsidRPr="00000000" w:rsidDel="00000000">
              <w:rPr>
                <w:rtl w:val="0"/>
              </w:rPr>
              <w:t xml:space="preserve">28.</w:t>
            </w:r>
            <w:r w:rsidR="00000000" w:rsidRPr="00000000" w:rsidDel="00000000">
              <w:rPr>
                <w:rtl w:val="0"/>
              </w:rPr>
              <w:t xml:space="preserve">  punktā minēto pētniecības organizāciju.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MKN projektu ar minimālajām prasībām, kuras jāietver sadarbības līgumā (atbildība, funkcijas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Šo noteikumu </w:t>
            </w:r>
            <w:r w:rsidR="00000000" w:rsidRPr="00000000" w:rsidDel="00000000">
              <w:rPr>
                <w:rtl w:val="0"/>
              </w:rPr>
              <w:t xml:space="preserve">16.10.</w:t>
            </w:r>
            <w:r w:rsidR="00000000" w:rsidRPr="00000000" w:rsidDel="00000000">
              <w:rPr>
                <w:rtl w:val="0"/>
              </w:rPr>
              <w:t xml:space="preserve">, </w:t>
            </w:r>
            <w:r w:rsidR="00000000" w:rsidRPr="00000000" w:rsidDel="00000000">
              <w:rPr>
                <w:rtl w:val="0"/>
              </w:rPr>
              <w:t xml:space="preserve">16.11.</w:t>
            </w:r>
            <w:r w:rsidR="00000000" w:rsidRPr="00000000" w:rsidDel="00000000">
              <w:rPr>
                <w:rtl w:val="0"/>
              </w:rPr>
              <w:t xml:space="preserve"> un </w:t>
            </w:r>
            <w:r w:rsidR="00000000" w:rsidRPr="00000000" w:rsidDel="00000000">
              <w:rPr>
                <w:rtl w:val="0"/>
              </w:rPr>
              <w:t xml:space="preserve">16.13.</w:t>
            </w:r>
            <w:r w:rsidR="00000000" w:rsidRPr="00000000" w:rsidDel="00000000">
              <w:rPr>
                <w:rtl w:val="0"/>
              </w:rPr>
              <w:t xml:space="preserve"> apakšpunktā minētās atbalstāmā darbības ietvaros ir atbalstāmas šādas gala labuma guvēja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aizstājot 16.11 punktu ar 16.9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Kristiāna Vecvanaga-Borovska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Šo noteikumu </w:t>
            </w:r>
            <w:r w:rsidR="00000000" w:rsidRPr="00000000" w:rsidDel="00000000">
              <w:rPr>
                <w:rtl w:val="0"/>
              </w:rPr>
              <w:t xml:space="preserve">50.1.</w:t>
            </w:r>
            <w:r w:rsidR="00000000" w:rsidRPr="00000000" w:rsidDel="00000000">
              <w:rPr>
                <w:rtl w:val="0"/>
              </w:rPr>
              <w:t xml:space="preserve">, </w:t>
            </w:r>
            <w:r w:rsidR="00000000" w:rsidRPr="00000000" w:rsidDel="00000000">
              <w:rPr>
                <w:rtl w:val="0"/>
              </w:rPr>
              <w:t xml:space="preserve">50.2.</w:t>
            </w:r>
            <w:r w:rsidR="00000000" w:rsidRPr="00000000" w:rsidDel="00000000">
              <w:rPr>
                <w:rtl w:val="0"/>
              </w:rPr>
              <w:t xml:space="preserve">, </w:t>
            </w:r>
            <w:r w:rsidR="00000000" w:rsidRPr="00000000" w:rsidDel="00000000">
              <w:rPr>
                <w:rtl w:val="0"/>
              </w:rPr>
              <w:t xml:space="preserve">50.3.</w:t>
            </w:r>
            <w:r w:rsidR="00000000" w:rsidRPr="00000000" w:rsidDel="00000000">
              <w:rPr>
                <w:rtl w:val="0"/>
              </w:rPr>
              <w:t xml:space="preserve">, </w:t>
            </w:r>
            <w:r w:rsidR="00000000" w:rsidRPr="00000000" w:rsidDel="00000000">
              <w:rPr>
                <w:rtl w:val="0"/>
              </w:rPr>
              <w:t xml:space="preserve">50.4.</w:t>
            </w:r>
            <w:r w:rsidR="00000000" w:rsidRPr="00000000" w:rsidDel="00000000">
              <w:rPr>
                <w:rtl w:val="0"/>
              </w:rPr>
              <w:t xml:space="preserve">, </w:t>
            </w:r>
            <w:r w:rsidR="00000000" w:rsidRPr="00000000" w:rsidDel="00000000">
              <w:rPr>
                <w:rtl w:val="0"/>
              </w:rPr>
              <w:t xml:space="preserve">50.5.</w:t>
            </w:r>
            <w:r w:rsidR="00000000" w:rsidRPr="00000000" w:rsidDel="00000000">
              <w:rPr>
                <w:rtl w:val="0"/>
              </w:rPr>
              <w:t xml:space="preserve">, </w:t>
            </w:r>
            <w:r w:rsidR="00000000" w:rsidRPr="00000000" w:rsidDel="00000000">
              <w:rPr>
                <w:rtl w:val="0"/>
              </w:rPr>
              <w:t xml:space="preserve">50.6.</w:t>
            </w:r>
            <w:r w:rsidR="00000000" w:rsidRPr="00000000" w:rsidDel="00000000">
              <w:rPr>
                <w:rtl w:val="0"/>
              </w:rPr>
              <w:t xml:space="preserve">, </w:t>
            </w:r>
            <w:r w:rsidR="00000000" w:rsidRPr="00000000" w:rsidDel="00000000">
              <w:rPr>
                <w:rtl w:val="0"/>
              </w:rPr>
              <w:t xml:space="preserve">50.8.</w:t>
            </w:r>
            <w:r w:rsidR="00000000" w:rsidRPr="00000000" w:rsidDel="00000000">
              <w:rPr>
                <w:rtl w:val="0"/>
              </w:rPr>
              <w:t xml:space="preserve">, </w:t>
            </w:r>
            <w:r w:rsidR="00000000" w:rsidRPr="00000000" w:rsidDel="00000000">
              <w:rPr>
                <w:rtl w:val="0"/>
              </w:rPr>
              <w:t xml:space="preserve">50.9.</w:t>
            </w:r>
            <w:r w:rsidR="00000000" w:rsidRPr="00000000" w:rsidDel="00000000">
              <w:rPr>
                <w:rtl w:val="0"/>
              </w:rPr>
              <w:t xml:space="preserve">, </w:t>
            </w:r>
            <w:r w:rsidR="00000000" w:rsidRPr="00000000" w:rsidDel="00000000">
              <w:rPr>
                <w:rtl w:val="0"/>
              </w:rPr>
              <w:t xml:space="preserve">50.10.</w:t>
            </w:r>
            <w:r w:rsidR="00000000" w:rsidRPr="00000000" w:rsidDel="00000000">
              <w:rPr>
                <w:rtl w:val="0"/>
              </w:rPr>
              <w:t xml:space="preserve">, </w:t>
            </w:r>
            <w:r w:rsidR="00000000" w:rsidRPr="00000000" w:rsidDel="00000000">
              <w:rPr>
                <w:rtl w:val="0"/>
              </w:rPr>
              <w:t xml:space="preserve">50.11.</w:t>
            </w:r>
            <w:r w:rsidR="00000000" w:rsidRPr="00000000" w:rsidDel="00000000">
              <w:rPr>
                <w:rtl w:val="0"/>
              </w:rPr>
              <w:t xml:space="preserve"> un </w:t>
            </w:r>
            <w:r w:rsidR="00000000" w:rsidRPr="00000000" w:rsidDel="00000000">
              <w:rPr>
                <w:rtl w:val="0"/>
              </w:rPr>
              <w:t xml:space="preserve">50.12.</w:t>
            </w:r>
            <w:r w:rsidR="00000000" w:rsidRPr="00000000" w:rsidDel="00000000">
              <w:rPr>
                <w:rtl w:val="0"/>
              </w:rPr>
              <w:t xml:space="preserve"> apakšpunktā minētās darbības pētniecības komercializācijas projekta ietvaros komersants var īstenot efektīvā sadarbībā ar pētniecības organizācijām.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kas ietverts izziņas 104.punktā. Vēršam uzmanību, ka no 52.punkta redakcijas joprojām nav nepārprotami skaidrs, uz kādiem projektiem šis nosacījums tiks attiecināts - uz projektiem kuru ietvaros komersanti saņems komercdarbības atbalstu vai uz ar saimniecisko darbību nesaistītiem pētniecības un tehnoloģiju pārneses projektiem. Ievērojot minēto, lūdzam atbilstoši precizēt un norādīt to MK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Šo noteikumu </w:t>
            </w:r>
            <w:r w:rsidR="00000000" w:rsidRPr="00000000" w:rsidDel="00000000">
              <w:rPr>
                <w:rtl w:val="0"/>
              </w:rPr>
              <w:t xml:space="preserve">50.</w:t>
            </w:r>
            <w:r w:rsidR="00000000" w:rsidRPr="00000000" w:rsidDel="00000000">
              <w:rPr>
                <w:rtl w:val="0"/>
              </w:rPr>
              <w:t xml:space="preserve"> punktā minēto atbalstāmo darbību ietvaros radušās izmaksas ir attiecināmas atbilstoši atbildīgās iestādes apstiprinātajai vienkāršoto izmaksu metodikai, ja attiecināms, kas saskaņota ar vadošo iestādi.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šajā gadījumā saprotams ar vārdiem "ja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Atbalsts komersantam inovāciju vaučera projektam (izņemot komersantu, kuram finansējumu piešķir saskaņā ar normatīvajiem aktiem jaunuzņēmumu darbības atbalsta jomā) šo noteikumu </w:t>
            </w:r>
            <w:r w:rsidR="00000000" w:rsidRPr="00000000" w:rsidDel="00000000">
              <w:rPr>
                <w:rtl w:val="0"/>
              </w:rPr>
              <w:t xml:space="preserve">50.7.</w:t>
            </w:r>
            <w:r w:rsidR="00000000" w:rsidRPr="00000000" w:rsidDel="00000000">
              <w:rPr>
                <w:rtl w:val="0"/>
              </w:rPr>
              <w:t xml:space="preserve"> apakšpunktā minētajai darbībai ir attiecināms, ievērojot šādas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Kontekstā ar EM sniegto atbilde izziņas 101.punktā, ka augsti kvalificētu darbinieku piesaiste plānota arī lielajiem komersantiem Jaunuzņēmumu darbības atbalsta likuma 7. panta trešās  daļas atbalsta ietvaros , vēršam EM uzmanību uz to, ka atbalsts lielajiem uzņēmumiem šī pasākuma ietvaros var tikt paredzēts tikai izpildot Kohēzijas politikas programmas (2021-2027). 85.paragrāfa nosacījumu par sadarbību ar MVU P&amp;I darbībās. Turklāt tas nav iekļaujams MKN projekta V.sadaļā, kur atbilstoši MKN 49.punktam atbalsta mērķa grupa ir MVU.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EM šo jautājumu un PO pētniecības komercializācijas jautājumus pārrunāt, organizējot sanāksmi, t.sk. pieaicinot IZM kolēģus (ja iespējams, prezentējot plānoto vaučeru izsniegšanas shēmu, kā arī komercializācijas fonda praktisko organizāciju).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 Šajos noteikumos minētās izmaksas Finansējuma saņēmējam ir attiecināmas no 2023. gada 1. janvāra.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ka netiek attiecinātas jau pabeigtas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 Šajos noteikumos minētās izmaksas Finansējuma saņēmējam ir attiecināmas no 2023. gada 1. janvāra.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projektu ar informāciju par izmaksu attiecināmības termiņu, ņemot vērā MK noteikumu projekta 78. un 116.punktā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Boboviča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 Visām </w:t>
            </w:r>
            <w:r w:rsidR="00000000" w:rsidRPr="00000000" w:rsidDel="00000000">
              <w:rPr>
                <w:rtl w:val="0"/>
              </w:rPr>
              <w:t xml:space="preserve">16.</w:t>
            </w:r>
            <w:r w:rsidR="00000000" w:rsidRPr="00000000" w:rsidDel="00000000">
              <w:rPr>
                <w:rtl w:val="0"/>
              </w:rPr>
              <w:t xml:space="preserve"> punktā minētajām izmaksām, kur attiecināms, Finansējuma saņēmējam jāpiemēro vadošās iestādes izstrādātās metodikas "Vienas vienības izmaksu standarta likmes aprēķina un piemērošanas metodika 1 km izmaksām darbības programmas “Izaugsme un nodarbinātība” un Eiropas Savienības kohēzijas politikas programmas 2021.–2027.gadam  īstenošanai" un "Vienas vienības izmaksu standarta likmes aprēķina un piemērošanas metodika iekšzemes komandējumu izmaksām darbības programmas “Izaugsme un nodarbinātība”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MK  noteikumu projekta 16. punktā ir norādītas atbalstāmās darbības, nevis izmaksas. Lūdzam precizēt noteikumu projekta 80. punktu, norādot atsauces uz konkrētiem 18.–22. punktiem/apakšpunktiem, kam piemērojamas 80.  punktā minētās vienkāršoto izmaksu metodikas.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Boboviča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Finansējuma saņēmējs pasākuma īstenošanā piemēro vadošās un atbildīgās iestādes sagatavotās 2021.-2027.gada plānošanas perioda vienkāršoto izmaksu metodikas, tiklīdz minētās metodikas stājas spēkā.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atbilstoši iepriekš sniegtajiem iebildumiem, tika minētas vairākas izmaksu pozīcijas, kurām varētu tikt piemērotas vienkāršotās izmaksas, par ko izziņā sniegta atsauce uz MK noteikumu 84. (iepriekš 92.) punktu. Vēršam uzmanību, ka no šajā punktā minētā, kā arī no anotācijā sniegtā apraksta nav pilnībā/ ir tikai daļēji izsekojams, kādām izmaksām tiks izstrādātas un piemērotas vienkāršotās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 Vērtēšanas komisiju locekļi, eksperti, novērotāji un finansējuma saņēmēja darbinieki, kas iesaistīti gala labuma guvēju pieteikumu vērtēšanas procesā, paraksta šo noteikumu </w:t>
            </w:r>
            <w:r w:rsidR="00000000" w:rsidRPr="00000000" w:rsidDel="00000000">
              <w:rPr>
                <w:rtl w:val="0"/>
              </w:rPr>
              <w:t xml:space="preserve">1.</w:t>
            </w:r>
            <w:r w:rsidR="00000000" w:rsidRPr="00000000" w:rsidDel="00000000">
              <w:rPr>
                <w:rtl w:val="0"/>
              </w:rPr>
              <w:t xml:space="preserve"> pielikumā esošo objektivitātes, konfidencialitātes un interešu konflikta neesības apliecinājumu, ka nepiedalīsies gala labuma guvēju pieteikumu izvērtēšanā interešu konflikta situācijā un vērtēšanas komisiajs sēdēs, kurās tiks apstiprināti gala labuma guvēju pieteikumi. Apliecinājumu paraksta pirms gala labuma guvēja pieteikumu izskatīšanas un vērtēšanas. Apliecinājumu Finansējuma saņēmējs glabā atbilstoši Regulas Nr. 2018/1046 132. pantam un šo noteikumu </w:t>
            </w:r>
            <w:r w:rsidR="00000000" w:rsidRPr="00000000" w:rsidDel="00000000">
              <w:rPr>
                <w:rtl w:val="0"/>
              </w:rPr>
              <w:t xml:space="preserve">102.</w:t>
            </w:r>
            <w:r w:rsidR="00000000" w:rsidRPr="00000000" w:rsidDel="00000000">
              <w:rPr>
                <w:rtl w:val="0"/>
              </w:rPr>
              <w:t xml:space="preserve"> punktam.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projekta  1.pielikumā "Objektivitātes, konfidencialitātes un interešu konflikta neesības apliecinājums" norādīt korektu pasākuma numuru un nosaukumu, šobrīd norādīto "1.2.3.1." aizstājot ar "1.2.1.4.".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Boboviča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Atbalstu sniedz saskaņā ar Komisijas regulu Nr. 1407/2013 un normatīvajiem aktiem par de minimis atbalsta uzskaites un piešķiršanas kārtību un de minimis atbalsta uzskaites veidlapu paraugiem, kā arī ņemot vērā </w:t>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48.</w:t>
            </w:r>
            <w:r w:rsidR="00000000" w:rsidRPr="00000000" w:rsidDel="00000000">
              <w:rPr>
                <w:rtl w:val="0"/>
              </w:rPr>
              <w:t xml:space="preserve"> un </w:t>
            </w:r>
            <w:r w:rsidR="00000000" w:rsidRPr="00000000" w:rsidDel="00000000">
              <w:rPr>
                <w:rtl w:val="0"/>
              </w:rPr>
              <w:t xml:space="preserve">69.</w:t>
            </w:r>
            <w:r w:rsidR="00000000" w:rsidRPr="00000000" w:rsidDel="00000000">
              <w:rPr>
                <w:rtl w:val="0"/>
              </w:rPr>
              <w:t xml:space="preserve"> punktā norādīto kārtību šādi: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izziņas 121.punktā ietverto iebildumu daļā attiecībā uz to, ka vēl joprojām nav skaidrs, kāpēc, sniedzot atbalstu saskaņā ar Komisijas regulu Nr. 1407/2013, būtu jāievēro finansējuma saņēmēja izstrādātā kārtība, kā tiek piešķirts atbalsts tehnoloģiju pārneses vai ar saimniecisko darbību nesaistītiem pētniecības pieteikumiem. Atkārtoti aicinām pārskatīt normā lietotās atsauces uz citiem MK noteikumu projekta punktiem.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96.1. šo noteikumu </w:t>
            </w:r>
            <w:r w:rsidR="00000000" w:rsidRPr="00000000" w:rsidDel="00000000">
              <w:rPr>
                <w:rtl w:val="0"/>
              </w:rPr>
              <w:t xml:space="preserve">50.1.</w:t>
            </w:r>
            <w:r w:rsidR="00000000" w:rsidRPr="00000000" w:rsidDel="00000000">
              <w:rPr>
                <w:rtl w:val="0"/>
              </w:rPr>
              <w:t xml:space="preserve">, </w:t>
            </w:r>
            <w:r w:rsidR="00000000" w:rsidRPr="00000000" w:rsidDel="00000000">
              <w:rPr>
                <w:rtl w:val="0"/>
              </w:rPr>
              <w:t xml:space="preserve">50.2.</w:t>
            </w:r>
            <w:r w:rsidR="00000000" w:rsidRPr="00000000" w:rsidDel="00000000">
              <w:rPr>
                <w:rtl w:val="0"/>
              </w:rPr>
              <w:t xml:space="preserve">, </w:t>
            </w:r>
            <w:r w:rsidR="00000000" w:rsidRPr="00000000" w:rsidDel="00000000">
              <w:rPr>
                <w:rtl w:val="0"/>
              </w:rPr>
              <w:t xml:space="preserve">50.3.</w:t>
            </w:r>
            <w:r w:rsidR="00000000" w:rsidRPr="00000000" w:rsidDel="00000000">
              <w:rPr>
                <w:rtl w:val="0"/>
              </w:rPr>
              <w:t xml:space="preserve"> un </w:t>
            </w:r>
            <w:r w:rsidR="00000000" w:rsidRPr="00000000" w:rsidDel="00000000">
              <w:rPr>
                <w:rtl w:val="0"/>
              </w:rPr>
              <w:t xml:space="preserve">50.4.</w:t>
            </w:r>
            <w:r w:rsidR="00000000" w:rsidRPr="00000000" w:rsidDel="00000000">
              <w:rPr>
                <w:rtl w:val="0"/>
              </w:rPr>
              <w:t xml:space="preserve"> apakšpunktā minētajām darbībām, ievērojot šo noteikumu </w:t>
            </w:r>
            <w:r w:rsidR="00000000" w:rsidRPr="00000000" w:rsidDel="00000000">
              <w:rPr>
                <w:rtl w:val="0"/>
              </w:rPr>
              <w:t xml:space="preserve">60.1.</w:t>
            </w:r>
            <w:r w:rsidR="00000000" w:rsidRPr="00000000" w:rsidDel="00000000">
              <w:rPr>
                <w:rtl w:val="0"/>
              </w:rPr>
              <w:t xml:space="preserve"> apakšpunktā minētos nosacījumus, ir 100% no ārpakalpojumu izmaksām, bet lielajam komersantam – 85 % no ārpakalpojuma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EM MKN projekta 96.1.punktā svītrot atsauci uz lielajiem komersantiem, ņemot vērā to, ka MKN V.sadaļas (komercializācijas vaučeri) atbalsta mērķa grupa ir  komersanti, kas atbilst sīkā (mikro), mazā un vidējā komersanta statusam saskaņā ar Regulas Nr. 651/2014 2. panta 2. punktu (MKN 49.punkts).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107.1. šo noteikumu </w:t>
            </w:r>
            <w:r w:rsidR="00000000" w:rsidRPr="00000000" w:rsidDel="00000000">
              <w:rPr>
                <w:rtl w:val="0"/>
              </w:rPr>
              <w:t xml:space="preserve">50.1.</w:t>
            </w:r>
            <w:r w:rsidR="00000000" w:rsidRPr="00000000" w:rsidDel="00000000">
              <w:rPr>
                <w:rtl w:val="0"/>
              </w:rPr>
              <w:t xml:space="preserve"> un </w:t>
            </w:r>
            <w:r w:rsidR="00000000" w:rsidRPr="00000000" w:rsidDel="00000000">
              <w:rPr>
                <w:rtl w:val="0"/>
              </w:rPr>
              <w:t xml:space="preserve">50.2.</w:t>
            </w:r>
            <w:r w:rsidR="00000000" w:rsidRPr="00000000" w:rsidDel="00000000">
              <w:rPr>
                <w:rtl w:val="0"/>
              </w:rPr>
              <w:t xml:space="preserve"> apakšpunktā minētajām darbībām sīkajiem (mikro) un mazajiem komersantiem ir 70 %, vidējiem komersantiem – 60 %, bet lielajiem komersantiem – 50 %;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EM šajā punktā svītrot atsauci uz lielajiem komersantiem, ņemot vērā to, ka MKN V.sadaļas (komercializācijas vaučeri) atbalsta mērķa grupa ir  komersanti, kas atbilst sīkā (mikro), mazā un vidējā komersanta statusam saskaņā ar Regulas Nr. 651/2014 2. panta 2. punktu (MKN 49.punkts).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107.2. šo noteikumu </w:t>
            </w:r>
            <w:r w:rsidR="00000000" w:rsidRPr="00000000" w:rsidDel="00000000">
              <w:rPr>
                <w:rtl w:val="0"/>
              </w:rPr>
              <w:t xml:space="preserve">50.3.</w:t>
            </w:r>
            <w:r w:rsidR="00000000" w:rsidRPr="00000000" w:rsidDel="00000000">
              <w:rPr>
                <w:rtl w:val="0"/>
              </w:rPr>
              <w:t xml:space="preserve"> apakšpunktā minētajai darbībai sīkajiem (mikro) un mazajiem komersantiem ir 45 %, vidējiem komersantiem – 35 %, bet lielajiem komersantiem – 25 %;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EM šajā punktā svītrot atsauci uz lielajiem komersantiem, ņemot vērā to, ka MKN V.sadaļas (komercializācijas vaučeri) atbalsta mērķa grupa ir  komersanti, kas atbilst sīkā (mikro), mazā un vidējā komersanta statusam saskaņā ar Regulas Nr. 651/2014 2. panta 2. punktu (MKN 49.punkts).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Atbalstu, kas sniegts citā atbalsta programmā vai individuālajā projektā, vienām un tām pašām attiecināmajām izmaksām var apvienot, nepārsniedzot maksimāli pieļaujamo atbalsta intensitāti, kas noteikta šo noteikumu </w:t>
            </w:r>
            <w:r w:rsidR="00000000" w:rsidRPr="00000000" w:rsidDel="00000000">
              <w:rPr>
                <w:rtl w:val="0"/>
              </w:rPr>
              <w:t xml:space="preserve">107.</w:t>
            </w:r>
            <w:r w:rsidR="00000000" w:rsidRPr="00000000" w:rsidDel="00000000">
              <w:rPr>
                <w:rtl w:val="0"/>
              </w:rPr>
              <w:t xml:space="preserve">, </w:t>
            </w:r>
            <w:r w:rsidR="00000000" w:rsidRPr="00000000" w:rsidDel="00000000">
              <w:rPr>
                <w:rtl w:val="0"/>
              </w:rPr>
              <w:t xml:space="preserve">108.</w:t>
            </w:r>
            <w:r w:rsidR="00000000" w:rsidRPr="00000000" w:rsidDel="00000000">
              <w:rPr>
                <w:rtl w:val="0"/>
              </w:rPr>
              <w:t xml:space="preserve"> un </w:t>
            </w:r>
            <w:r w:rsidR="00000000" w:rsidRPr="00000000" w:rsidDel="00000000">
              <w:rPr>
                <w:rtl w:val="0"/>
              </w:rPr>
              <w:t xml:space="preserve">109.</w:t>
            </w:r>
            <w:r w:rsidR="00000000" w:rsidRPr="00000000" w:rsidDel="00000000">
              <w:rPr>
                <w:rtl w:val="0"/>
              </w:rPr>
              <w:t xml:space="preserve"> punktā. Visas attiecināmās izmaksas, kas pārsniedz Komisijas noteikto maksimāli pieļaujamo intensitāti, atbalsta saņēmējs sedz no līdzekļiem, kas nav saistīti ar jebkādu valsts atbalstu, tai skaitā de minimis atbalstu.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izziņas 126.punktā iekļauto iebildumu, vēršam uzmanību, ka atšķirībā no izziņā norādītā, MK noteikumu projekta 115.punktā izmaiņas nav veiktas.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 Finansējuma saņēmējs lēmumu par atbalsta piešķiršanu saskaņā ar Regulu Nr. 651/2014 var pieņemt līdz šīs regulas darbības beigām.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izziņas 130.punktā iekļauto iebildumu, vēršam uzmanību, ka atšķirībā no izziņā norādītā, MK noteikumu projekta 118.punktā izmaiņas nav veiktas.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projekta 1.pielikumā "Objektivitātes, konfidencialitātes un interešu konflikta neesības apliecinājums " norādīt korektu pasākuma numuru un nosaukumu, šobrīd norādīto "1.2.3.1." aizstājot ar "1.2.1.4.".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Boboviča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mērķa redakciju ar MKN projekta 4.punktā noteikto. Aicinām par pasākuma mērķi izmantot anotācijā formulēto mērķi, jo tas precīzāk atspoguļo pasākuma ietvaros paredzēto un ir vieglāk uztverams.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vai pasākuma ietvaros plānots piemērot reģionālo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LIAA projekta izmaksas ir attiecināms pirms līguma vai vienošanās noslēgšanas, lūdzam anotācijā sniegt pamatojumu, kas nosaka finanšu plūsmas pirms projekta apstiprināšanas nodrošināšanas nosacījumus, kā arī atbildīgās iestādes pienākumus un atbildību gadījumos, ja pirms projekta apstiprināšanas radušās izmaksas, kas nav attiecināmas no ES fondu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šādus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pasākuma sasaisti ar Valdības rīcības plāna uzdevumiem;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kāds ir pasākuma ieguldījums kopējā ekonomikas transformācijā;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kādi ir plānotie kvantitatīvie rādītāji/ieguvumi sabiedrībai un nozarei pasākuma īstenošanas rezultātā, neskaitot programmā noteiktos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un kāda ir plānotā ietekme uz IKP.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MKN projekta izziņas 115.punktā iekļautajiem skaidrojumiem par "zaļo publisko iepirkumu" un "inovāciju publisko iepirkumu".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kādas ir galvenās atšķirības plānotajā Eiropas Savienības kohēzijas politikas programmas 2021.–2027.gadam 1.2.1.4.pasākuma īstenošanā no Darbības programmas “Izaugsme un nodarbinātība” 1.2.1.2.pasākuma īstenošanas, t.sk., kāds ir Darbības programmas “Izaugsme un nodarbinātība” 1.2.1.2.pasākuma īstenošanas statuss, vai nepastāv dubultās finansēšanas risks.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summu pie finansējuma koda uz 22 865 000 EUR, kas ir ERAF finansējuma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atbalstāmo darbību demarkāciju ar ES fondu 2021.- 2027. gada plānošanas perioda 1.2.3.1. atbalsta pasākumu.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sadaļas 11.punktā "Vienkāršoto izmaksu metodikas" norādīto informāciju par vienkāršoto izmaksu metodikām - norādām, ka vadošā iestāde neapstiprina atbildīgās iestādes metodikas, līdz ar to lūdzam veikt attiecīgus precizējumus. Papildus norādām, ka metodikas ir piemērojamas ja tās paredzētas MK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1.3.sadaļas 6.punktā (Atbalsta pasākumu nodrošināšana komersantiem jaunu produktu izstrādei un komercializācijai" ) (atbalsts MVK vaučeru veidā) un tās pirmajā teikumā un anotācijas 1.3.sadaļas 8.punktā (Finansējuma saņēmēja atbalstāmās darbības) punktā par inovāciju vaučeru atbalsta pakalpojumu nodrošināšanu , lūdzam svītrot atsauci uz lielajiem komersantiem, nodrošinot atbilstību MKN projekta V. sadaļas 49.punktā noteiktajam, ka aktivitātes mērķa grupa ir </w:t>
            </w:r>
            <w:r w:rsidR="00000000" w:rsidRPr="00000000" w:rsidDel="00000000">
              <w:rPr>
                <w:u w:val="single"/>
                <w:rtl w:val="0"/>
              </w:rPr>
              <w:t xml:space="preserve">komersanti, kas atbilst sīkā (mikro), mazā un vidējā komersanta</w:t>
            </w:r>
            <w:r w:rsidR="00000000" w:rsidRPr="00000000" w:rsidDel="00000000">
              <w:rPr>
                <w:rtl w:val="0"/>
              </w:rPr>
              <w:t xml:space="preserve"> statusam saskaņā ar Regulas Nr. 651/2014 2. panta 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anotācijas 1.3.sadaļas 5.punktā ( Publisko pētniecības organizāciju pētniecības rezultātu komercializācijas un patentēšanas fonda darbības nodrošināšana) minēto, ka projektiem, kuriem atbilstoši finansējuma saņēmēja izstrādātajai projekta iesniegumu vērtēšanas metodikai, vērtējot tehnoloģijas aprakstu, noteikts augsts komercializācijas potenciāls, atbalsta apjoms var būt palielināts vēl par 200 000 euro, lūdzu skat.iebildumu pie MKN projekta 31.punkta un nepieciešamības gadījumā viekt atbilstošus pecizējumus arī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2021.–2027.gadam 1.2.1. specifiskā atbalsta mērķa “Pētniecības un inovāciju kapacitātes stiprināšana un progresīvu tehnoloģiju ieviešana uzņēmumiem” 1.2.1.4. pasākuma “Atbalsts tehnoloģiju pārneses sistēmas pilnveidošanai”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MKN projektu, nosakot, ka finansējuma saņēmējs uzņemas segt sadārdzinājumu, ja tāds radīsies. Tāpat lūdzam atbilstoši precizēt MKN projekta 31.1.apakšpunktu.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2021.–2027.gadam 1.2.1. specifiskā atbalsta mērķa “Pētniecības un inovāciju kapacitātes stiprināšana un progresīvu tehnoloģiju ieviešana uzņēmumiem” 1.2.1.4. pasākuma “Atbalsts tehnoloģiju pārneses sistēmas pilnveidošanai”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pasākuma īstenoto projektu ietvaros ir plānots gūt neto ieņēmumus, ir jāparedz nepieciešamība veikt projekta izmaksu ieguvumu vai izmaksu efektivitātes analīzi atbilstoši normatīvā akta, kas nosaka kārtību, kādā Eiropas Savienības fondu vadībā iesaistītās institūcijas nodrošina šo fondu ieviešanu 2021.–2027.gada plānošanas periodā 1.pielikuma sadaļā “Projekta izmaksu efektivitātes novērtēšana” (attiecas tikai uz ERAF, KF un TPF) noteiktajam vai izmaksu efektivitātes analīzi, vadošās iestādes vadlīnijās Nr. 1.1., kā arī vadošās iestādes vadlīnijās Nr. 1.2.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Pasākuma mērķis ir, sniedzot ieguldījumu Latvijas Viedās specializācijas stratēģijas mērķu sasniegšanā, veidojot saikni starp sīkajiem (mikro), mazajiem, vidējiem un lielajiem komersantiem un publiskajām pētniecības institūcijām, kas sekmētu zināšanu tiešu pārnesi un kļūtu par katalizatoru ilgtermiņa, padziļinātākas sadarbības veidošanai starp abām pusēm, kā arī veicinot inovācijas aktivitāti sīkajos (mikro), mazajos, vidējos un lielajos komersantos tehnoloģiju pārneses ceļā, sniedzot tiem atbalstu jaunu vai būtiski uzlabotu produktu vai tehnoloģiju attīstībai, sekmēt jaunuzņēmumu veidošanos Latvijā, veicinot pētniecību, un inovatīvu ideju, produktu vai procesu izmantošanu saimnieciskajā darbībā – pētniecības rezultātu komercializāciju, kā arī atbalstīt pētniecības rezultātu komercializācijas kompetences attīstīšanu valsts pētniecības organizācijās, sekmējot šo pētniecības organizāciju īpašumā esošo pētniecības rezultātu komercializāciju gan Latvijā, gan ārvalstīs, lai palielinātu pētniecības organizāciju ienākumus no pētījumu rezultātu komercializēšanas vai pārvērstu pētījumu rezultātus veiksmīgā uzņēmējdarbībā;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EM pārformulēt īsāku un vieglāk uztveramu pasākuma mērķi, salāgojot tā redakciju, piemēram, ar to, kas minēts anotācijā. Tāpat pasākuma mērķim jāatbilst Programmā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ietvaros plānotais kopējais attiecināmais finansējums ir 26 900 000 euro (t.sk. elastības finansējuma apjoms 4 242 811 euro), tai skaitā Eiropas Reģionālā attīstības fonda (turpmāk - ERAF) finansējums 22 865 000 euro t.sk. (t.sk. elastības finansējuma apjoms 3 606 389 euro) un valsts budžeta finansējums – 4 035 000 euro (t.sk. elastības finansējuma apjoms 636 422 euro). Maksimālais attiecināmais ERAF finansējuma apmērs nepārsniedz 85 % no projekta kopējā attiecināmā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iesniegumā pasākuma īstenošanai kopējo pasākuma pieejamo finansējumu plāno ne vairāk kā 22 657 189 euro apmērā, tai skaitā ERAF finansējumu – 19 258 610 euro apmērā un valsts budžeta finansējumu – 3 398 579 euro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 normu uztveramību, lūdzam izdalīt noteikumu projekta 7.punkta pēdējos divis teikumus, kā divus atsevišķus 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Prasības projekta iesniedzējam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 noteikumu projekta  redakcijā Nr.1 noteikto prasību, ka  projekta iesnieguma vērtēšanas komisijā sadarbības iestāde iekļauj arī pārstāvi no Latvijas Pašvaldību savienības un redakcijā Nr.2 veiktus precizējumus, t.i. prasība ir dzēsta, lūdzam izvērtēt nepieciešamību minētā pārstāvja iekļaušanai vērtēšanas komisijas sastāvā, attiecīgi pēc nepieciešamības  papildinot  MK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Boboviča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Projekta iesniedzējs </w:t>
            </w:r>
            <w:r w:rsidR="00000000" w:rsidRPr="00000000" w:rsidDel="00000000">
              <w:rPr>
                <w:rtl w:val="0"/>
              </w:rPr>
              <w:t xml:space="preserve">16.</w:t>
            </w:r>
            <w:r w:rsidR="00000000" w:rsidRPr="00000000" w:rsidDel="00000000">
              <w:rPr>
                <w:rtl w:val="0"/>
              </w:rPr>
              <w:t xml:space="preserve"> punktā minētās atbalstāmās darbības īsteno saskaņā ar projekta īstenošanas stratēģiju, kura satur detalizētu informāciju par projekta īstenošanas plānu, mērķiem, tehnoloģiju pārneses un komercializācijas vides problēmām Latvijā un to risinājumiem, finansējuma saņēmējam, tā darba uzdevumus un funkcijas, kā arī sasniedzamos rādītājus, lai nodrošinātu šo noteikumu </w:t>
            </w:r>
            <w:r w:rsidR="00000000" w:rsidRPr="00000000" w:rsidDel="00000000">
              <w:rPr>
                <w:rtl w:val="0"/>
              </w:rPr>
              <w:t xml:space="preserve">4.</w:t>
            </w:r>
            <w:r w:rsidR="00000000" w:rsidRPr="00000000" w:rsidDel="00000000">
              <w:rPr>
                <w:rtl w:val="0"/>
              </w:rPr>
              <w:t xml:space="preserve"> punktā minētā mērķa sasniegšanu. Projekta īstenošanas stratēģiju pievieno projekta iesniegumam.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15.punktu ar vārdiem "šo noteikumu" pirms skaitļa un vārda "16.punktā".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 informācijas un publicitātes pasākumu nodrošināšana, ievērojot nediskriminācijas principus (informācijas un publicitātes pasākumu nodrošināšana ir saskaņā ar saistošo normatīvo aktu un citu dokumentu noteiktajām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 noteikumu projekta  16.3.apakšpunktā,  83.punktā noteikto  un izziņā sniegto skaidrojumu, ka 16.3. apakšpunkts ietver ne tikai obligāto publicitātes prasību ievērošanu, bet arī atbalsta programmu popularizēšanu tās mērķa grupām un citām ieinteresētajām pusēm, piemēram, pakalpojuma sniedzējiem, riska kapitāla investoriem u.c. , lai izvairītos no interpretācijas iespējām,  lūdzam ar minēto skaidrojumu papildināt  anotāciju. Vienlaikus izvērtēt un ja nepieciešams  noteikt izmaksas par obligāto publicitātes prasību izpildes nodrošināšanu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Boboviča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Šo noteikumu </w:t>
            </w:r>
            <w:r w:rsidR="00000000" w:rsidRPr="00000000" w:rsidDel="00000000">
              <w:rPr>
                <w:rtl w:val="0"/>
              </w:rPr>
              <w:t xml:space="preserve">16.1.</w:t>
            </w:r>
            <w:r w:rsidR="00000000" w:rsidRPr="00000000" w:rsidDel="00000000">
              <w:rPr>
                <w:rtl w:val="0"/>
              </w:rPr>
              <w:t xml:space="preserve"> un </w:t>
            </w:r>
            <w:r w:rsidR="00000000" w:rsidRPr="00000000" w:rsidDel="00000000">
              <w:rPr>
                <w:rtl w:val="0"/>
              </w:rPr>
              <w:t xml:space="preserve">16.2.</w:t>
            </w:r>
            <w:r w:rsidR="00000000" w:rsidRPr="00000000" w:rsidDel="00000000">
              <w:rPr>
                <w:rtl w:val="0"/>
              </w:rPr>
              <w:t xml:space="preserve"> apakšpunktā minētajām darbībām finansējuma saņēmējam finansējums nepārsniedz 20 % no šo noteikumu </w:t>
            </w:r>
            <w:r w:rsidR="00000000" w:rsidRPr="00000000" w:rsidDel="00000000">
              <w:rPr>
                <w:rtl w:val="0"/>
              </w:rPr>
              <w:t xml:space="preserve">7.</w:t>
            </w:r>
            <w:r w:rsidR="00000000" w:rsidRPr="00000000" w:rsidDel="00000000">
              <w:rPr>
                <w:rtl w:val="0"/>
              </w:rPr>
              <w:t xml:space="preserve"> punktā minētā kopējā pasākuma īstenošanai minētā finansējuma atbilstoši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55.panta 1.punktam.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atbilstību MK noteikumu projekta 17. punktā ietvertajai atsaucei uz regulas Nr. 1060/2021 55. panta 1. punktu. Vēršam uzmanību, ka minētās regulas 55. panta 1. punkts noteic, ka Darbības tiešās personāla izmaksas var aprēķināt, izmantojot vienotu likmi līdz 20 % apmērā no tiešajām izmaksām, kas nav minētās darbības tiešās personāla izmaksas. Proti, punktā nav noteikts personāla izmaksu ierobežojums procentuāli no pārējām izmaksām, bet punkts paredz vienotās likmes piemērošanu, kā atskaites punktu ņemot tās izmaksas, kas nav tiešās personāla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Boboviča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Šo noteikumu </w:t>
            </w:r>
            <w:r w:rsidR="00000000" w:rsidRPr="00000000" w:rsidDel="00000000">
              <w:rPr>
                <w:rtl w:val="0"/>
              </w:rPr>
              <w:t xml:space="preserve">16.1.</w:t>
            </w:r>
            <w:r w:rsidR="00000000" w:rsidRPr="00000000" w:rsidDel="00000000">
              <w:rPr>
                <w:rtl w:val="0"/>
              </w:rPr>
              <w:t xml:space="preserve"> un </w:t>
            </w:r>
            <w:r w:rsidR="00000000" w:rsidRPr="00000000" w:rsidDel="00000000">
              <w:rPr>
                <w:rtl w:val="0"/>
              </w:rPr>
              <w:t xml:space="preserve">16.2.</w:t>
            </w:r>
            <w:r w:rsidR="00000000" w:rsidRPr="00000000" w:rsidDel="00000000">
              <w:rPr>
                <w:rtl w:val="0"/>
              </w:rPr>
              <w:t xml:space="preserve"> apakšpunktā minēto atbalstāmo darbību īstenošanai ir attiecināmas netiešās izmaksas 15% apmērā no tiešajām attiecināmajām personāla izmaksām saskaņā Regulas Nr. 2021/1060 54. panta b) 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19.punktu ar vārdiem "pirmās daļas" aiz skaitļa un vārda "54.panta".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Šo noteikumu </w:t>
            </w:r>
            <w:r w:rsidR="00000000" w:rsidRPr="00000000" w:rsidDel="00000000">
              <w:rPr>
                <w:rtl w:val="0"/>
              </w:rPr>
              <w:t xml:space="preserve">47.</w:t>
            </w:r>
            <w:r w:rsidR="00000000" w:rsidRPr="00000000" w:rsidDel="00000000">
              <w:rPr>
                <w:rtl w:val="0"/>
              </w:rPr>
              <w:t xml:space="preserve">un </w:t>
            </w:r>
            <w:r w:rsidR="00000000" w:rsidRPr="00000000" w:rsidDel="00000000">
              <w:rPr>
                <w:rtl w:val="0"/>
              </w:rPr>
              <w:t xml:space="preserve">48.</w:t>
            </w:r>
            <w:r w:rsidR="00000000" w:rsidRPr="00000000" w:rsidDel="00000000">
              <w:rPr>
                <w:rtl w:val="0"/>
              </w:rPr>
              <w:t xml:space="preserve"> punktā minētā sadarbības līguma ietvaros īstenojamā tehnoloģiju pārneses un ar saimniecisko darbību nesaistīta pētniecības projekta pārtraukšana pirms termiņa beigām ir atbalstāma, ja tā īstenošanas gaitā konstatēts, ka nebūs iespējams sasniegt pētniecības projekta izvirzīto mērķi. Finansējuma saņēmējs izvērtē pētniecības projekta rezultātus un to atbilstību pētniecības projekta mērķim un plānotajām aktivitātēm. Piecu darbdienu laikā pēc lēmuma pieņemšanas par pētniecības projekta pārtraukšanu finansējuma saņēmējs iesniedz sadarbības iestādē lēmuma kopiju par pārtraukto pētījumu. Aktivitāšu izmaksas ir attiecināmas, ievērojot saimnieciskuma, lietderības un efektivitātes principus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Regula Nr. 2018/1046) 33. panta izpratnē, ja aktivitāte ir pilnībā pabeigta atbilstoši pētniecības projekta pieteikumam un noslēgtā līguma nosacījumiem. Izmaksas var tikt attiecinātas un iekļautas maksājuma pieprasījumā tikai par pabeigtajām aktivitātēm pētījuma pārtraukšanas brīdī.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juridiskās tehnikas prasībām tiesību normai ir jābūt skaidrai, lai tās lietotājs un piemērotājs gūtu nepārprotamu priekšstatu par normā ietvertajiem pienākumiem un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normas uztveramību, aicinām punktu sadalīt, nodalot finansējuma saņēmēja pienākumus, no normās, kas nosaka izmaksu attiecināmību.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82.1. jaunradītajiem produktiem un tehnoloģijām atbalstītajos komersantos saskaņā ar finansējuma saņēmēju maksājuma pieprasījumos norādāmo informāciju, kas atbilst normatīvajiem aktiem par pārbaužu veikšanu Eiropas Savienības fondu ieviešanas 2021.–2027. gada plānošanas periodā;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82.1.apakšpunktā ietverto atsauci uz MK noteikumiem "Eiropas Savienības fondu projektu pārbaužu veikšanas kārtība 2021.–2027. gada plānošanas periodā". Vēršam uzmanību, ka ES fondu 2021.-2027.gada plānošanas periodā, ņemot vērā Kohēzijas politikas fondu vadības informācijas sistēmas funkcionalitāti, veidlapas ir iestrādātas minētajā sistēmā, attiecīgi arī maksājuma pieprasījuma veidlapa. Līdz ar to maksājumu pieprasījumu veidlapa vairs nav attiecīgo noteikumu sastāvdaļa.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 Finansējuma saņēmējs izvērtē gala labuma guvējus atbilstoši Regulas Nr. 2018/1046 136. pantā noteiktajiem izslēgšanas kritērijiem. Uz komersantu nav attiecināms jebkurš no šādiem gadījumiem: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2022.gada 13.decembra sēdes protokollēmuma Nr.64 6§ 3.punktā noteikto, lūdzma izvērtēt un, ja attiecināms, nodrošināt tiesisko ietvaru, kā arī tehnisko mehānismu, kādā finansējuma saņēmējs var pārbaudīt mērķa grupas dalībnieka atbilstību dalībai projektā, jo īpaši attiecībā uz fizisko personu datiem, kas reģistrēti valsts informācijas sistēmās un projekta īstenošanas laikā valsts informācijas sistēmās var tikt aktualizēti.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 Maksimālā atbalsta intensitāte atbilstoši Regulas Nr. 651/2014 18. panta 2. punktam šo noteikumu </w:t>
            </w:r>
            <w:r w:rsidR="00000000" w:rsidRPr="00000000" w:rsidDel="00000000">
              <w:rPr>
                <w:rtl w:val="0"/>
              </w:rPr>
              <w:t xml:space="preserve">50.8.</w:t>
            </w:r>
            <w:r w:rsidR="00000000" w:rsidRPr="00000000" w:rsidDel="00000000">
              <w:rPr>
                <w:rtl w:val="0"/>
              </w:rPr>
              <w:t xml:space="preserve">50.9.</w:t>
            </w:r>
            <w:r w:rsidR="00000000" w:rsidRPr="00000000" w:rsidDel="00000000">
              <w:rPr>
                <w:rtl w:val="0"/>
              </w:rPr>
              <w:t xml:space="preserve"> apakšpunktā minētajām darbībām sīkajiem (mikro), mazajiem un vidējiem komersantiem ir 50 %.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tehnisks precizējums, starp cipariem "50.8." un "50.9."ievietojot saikli "un".</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 Maksimālā atbalsta intensitāte atbilstoši Regulas Nr. 651/2014 18. panta 2. punktam šo noteikumu 50.8. un 50.9. apakšpunktā minētajām darbībām sīkajiem (mikro), mazajiem un vidējiem komersantiem ir 50 %.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11.punktā "Vienkāršoto izmaksu metodikas" lūdzam papildināt, vai vienkāršotās izmaksas par pasākumiem un pakalpojumiem, kas nav saistīti finanšu atbalstu, tiks piemērotas tikai EK - dalībvalsts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kā n gadu norādīt 2023.gadu, attiecīgi projekta ietekmi uz budžetu atspoguļojot korektajās ailēs un 6.punktā svītrojot informāciju par 2022.gadu. Vienlaikus lūdzam izvērtēt un nepieciešamības gadījumā ietekmi uz budžetu atspoguļot kopā ar elastības finansējumu, ņemot vērā, ka pēc Eiropas Komisijas lēmuma par vidusposma pārskatu pasākumam pieejamai kopējai attiecināmas finansējums var tikt palielināts līdz 26 900 000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22-TA-2786</w:t>
    </w:r>
    <w:r>
      <w:br/>
    </w:r>
    <w:r w:rsidR="00000000" w:rsidRPr="00000000" w:rsidDel="00000000">
      <w:rPr>
        <w:rtl w:val="0"/>
      </w:rPr>
      <w:t xml:space="preserve">Izdrukāts 06.03.2023. 16.07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22-TA-2786</w:t>
    </w:r>
    <w:r>
      <w:br/>
    </w:r>
    <w:r w:rsidR="00000000" w:rsidRPr="00000000" w:rsidDel="00000000">
      <w:rPr>
        <w:rtl w:val="0"/>
      </w:rPr>
      <w:t xml:space="preserve">Izdrukāts 06.03.2023. 16.07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Atzinumi_22-TA-2786.docx</dc:title>
</cp:coreProperties>
</file>

<file path=docProps/custom.xml><?xml version="1.0" encoding="utf-8"?>
<Properties xmlns="http://schemas.openxmlformats.org/officeDocument/2006/custom-properties" xmlns:vt="http://schemas.openxmlformats.org/officeDocument/2006/docPropsVTypes"/>
</file>