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kopējais plānotais finansējums ir ne vairāk kā 18 933 112 </w:t>
            </w:r>
            <w:r w:rsidR="00000000" w:rsidRPr="00000000" w:rsidDel="00000000">
              <w:rPr>
                <w:i w:val="1"/>
                <w:rtl w:val="0"/>
              </w:rPr>
              <w:t xml:space="preserve">euro</w:t>
            </w:r>
            <w:r w:rsidR="00000000" w:rsidRPr="00000000" w:rsidDel="00000000">
              <w:rPr>
                <w:rtl w:val="0"/>
              </w:rPr>
              <w:t xml:space="preserve">, tai skaitā Kohēzijas fonda finansējums 16 093 145 </w:t>
            </w:r>
            <w:r w:rsidR="00000000" w:rsidRPr="00000000" w:rsidDel="00000000">
              <w:rPr>
                <w:i w:val="1"/>
                <w:rtl w:val="0"/>
              </w:rPr>
              <w:t xml:space="preserve">euro</w:t>
            </w:r>
            <w:r w:rsidR="00000000" w:rsidRPr="00000000" w:rsidDel="00000000">
              <w:rPr>
                <w:rtl w:val="0"/>
              </w:rPr>
              <w:t xml:space="preserve"> un nacionālais līdzfinansējums (pašvaldību finansējums) – 2 839 967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elastības finansējumu, aicinām papildināt noteikumu projekta 5. punktu aiz vārda "plānotais" ar vārdiem "un pieejamais", kā arī svītrot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kopējais plānotais un pieejamais finansējums ir 18 933 112 euro, tai skaitā Kohēzijas fonda finansējums 16 093 145 euro un nacionālais līdzfinansējums (pašvaldību finansējums) – 2 839 967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līdz 2029. gada 31. decembrim, sasniedzot iznākuma rādītāju – jaunu vai modernizētu autoceļu garums – TEN-T – 5,8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2021.-2027.gadam (turpmāk - programma) rādītāja RCO 43 "Jaunu vai modernizētu autoceļu garums – TEN-T" vērtība ir 3,5km. Lai nodrošinātu informācijas izsekojamību, lūdzam papildināt anotāciju ar informāciju par šī pasākuma ietekmi uz programmas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precizēt arī attiecīgā rādītāja metodoloģijas aprakstu, papildinot to ar informāciju par 3.1.1.5.pasākumu, ņemot vērā, ka šī pasākuma ietvaros tiek plānots sasniegt konkrēto programmas iznākuma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kas pēc projekta apstiprināšanas ir finansējuma saņēmējs (turpmāk – finansējuma saņēmējs), sagatavo projekta iesniegumu atbilstoši projektu iesniegumu atlases nolikumā noteiktajām prasībām, pievienojot projektam veikto izmaksu un ieguvumu analīzi,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kuriem projektiem ir jāveic izmaksu un ieguvumu analīze, piemēram, pievienojot projektam veikto izmaksu un ieguvumu analīzi projektu iesniegumiem, kuriem kopējās izmaksas pārsniedz 1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vienotās likmes apmēru netiešajām attiecināmajām izmaksām (atbilstoši vadošās iestādes vadlīniju Nr. 1.1. "Vadlīnijas par vienkāršoto izmaksu izmantošanas iespējām un to piemērošana Eiropas Savienības kohēzijas politikas programmas 2021.–2027.gadam ietvaros" 27.p. sniegtajam skaidrojumam).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vadošās iestādes vadlīnijās Nr. 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noteikumu projektu un tajā ietvertos attiecināmības nosacījumus. Tāpat lūdzam izvērtēt, vai 21.punkts nav pretrunā ar 22.punktu, t.i. paredzot būvuzraudzības un autoruzraudzības izmaksas gan kā netiešās izmaksas, kam piemērojama vienotā likme, gan piemērojot tam 10% ierobežojumu no būvdarbu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varētu tikt virzīts apstiprināšanai Ministru kabinetā (turpmāk - MK) pirms vadlīniju apstiprināšanas, taču tajā ietvertas atsevišķas normas atbilstoši plānotajiem grozījumiem (t.i. atkāpes no ierobežojumiem), aicinām anotāciju papildināt ar a) pamatojumu atkāpei no spēkā esošajām vadlīnijām; b) informāciju, ka Atbildīgā iestāde vajadzības gadījumā vērtēs grozījumu nepieciešamību apstiprinātajos MK noteikumos balstoties uz vadlīniju versiju pēc grozījumiem, ievērojot visus tajā ietvertos nosacījumus, t.sk. pārvērtējot visas izmaksu pozīcijas, attiecināšanas nosacījumus un izmaiņu ietekmi uz jau īstenošanā esošajiem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komunikācijas un vizuālās identitātes prasību nodrošināšanas izmaksas, informācijas un publicitātes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normas interpretāciju, lūdzam svītrot noteikumu projekta 21.2. apakšpunktā vārdus "informācijas un publicitātes pasākumu izmaksas", ja vien ar tām nav saprotamas tādas izmaksas, kas nav attiecināmas uz noteikumu projekta 31.12. apakšpunktā minēto finansējuma saņēmēja pienākumu. Gadījumā, ja ar minētajām izmaksām saprotamas tādas, kas nav attiecināmas uz noteikumu projekta 31.12. apakšpunktā minēto finansējuma saņēmēja pienākumu, lūdzam papildināt noteikumu projektu ar atbilstošu finansējuma saņēmēja pienākumu vai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2021/1060), 64. panta 1. punkta "c" apakšpunkta nosacījumiem,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w:t>
            </w:r>
            <w:r w:rsidR="00000000" w:rsidRPr="00000000" w:rsidDel="00000000">
              <w:rPr>
                <w:u w:val="single"/>
                <w:rtl w:val="0"/>
              </w:rPr>
              <w:t xml:space="preserve">darbībām (t.i. projektiem), kuru kopējās izmaksas ir mazākas nekā 5 000 000 euro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euro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precizēt noteikumu projekta 24. punktu, ņemot vērā, ka paredzēts īstenot gan tādus projektus, kuru kopējās izmaksas ir mazākas nekā 5 000 000 euro (ieskaitot pievienotās vērtības nodokli), gan tādus projektus, kuru kopējās izmaksas ir vismaz 5 000 000 euro (ieskaitot pievienotās vērtības nodokli), izsakot to,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projektiem, kuru kopējās izmaksas ir mazākas nekā 5 000 000 euro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projektiem, kuru kopējās izmaksas ir vismaz 5 000 000 euro (ieskaitot pievienotās vērtības nodokli) gadījumos, kad tas nav atgūstams saskaņā ar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20.18. </w:t>
            </w:r>
            <w:r w:rsidR="00000000" w:rsidRPr="00000000" w:rsidDel="00000000">
              <w:rPr>
                <w:rtl w:val="0"/>
              </w:rPr>
              <w:t xml:space="preserve">apakšpunktā</w:t>
            </w:r>
            <w:r w:rsidR="00000000" w:rsidRPr="00000000" w:rsidDel="00000000">
              <w:rPr>
                <w:rtl w:val="0"/>
              </w:rPr>
              <w:t xml:space="preserve"> minētās projekta vadības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ierobežojums 34 422 euro un 84 787 euro tiek noteikts Eiropas Savienības fondu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uzkrāj datus par projekta ietekmi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31.3. apakšpunktu vai precizēt tā redakciju, skaidri norādot, ka finansējuma saņēmējs projekta īstenošanas laikā uzkrāj datus par faktiski sasniegtajiem šo noteikumu 10. punktā minētajiem rādītājiem, nevis par projekta ietekmi uz šiem rādītājiem. Tāpat, lai mazinātu administratīvo slogu finansējuma saņēmējiem, aicinām izvērtēt noteikumu projekta 31.4. apakšpunktā ietvertā nosacījuma par datu uzkrāšanu lietderību vai arī anotācijā sniegt papildu skaidrojumu par šo datu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 kā arī piemēro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nolūkā lūdzam izvērtēt iespēju precizēt noteikumu projekta 32. punkta redakciju, paredzot sociāli atbildīgā iepirkuma un inovatīva publiskā iepirkuma piemērošanu kā iespēju, nevis obligātu pienākumu, izsakot 32.punkta redakciju, piemēram,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var īstenot sociāli atbildīgu iepirkumu, kā arī piemērot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5.3. apakšpunktu, kā arī punktā “Cita informācija” otrajā teikumā vārdus “Minētais finansējums” aizstāt ar vārdiem “Kohēzijas fonda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pasākumam būs tieša vai netieša ietekme uz horizontālo principu "Klimatdrošināšana".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30.04.2025.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30.04.2025.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Atzinumi_24-TA-3274.docx</dc:title>
</cp:coreProperties>
</file>

<file path=docProps/custom.xml><?xml version="1.0" encoding="utf-8"?>
<Properties xmlns="http://schemas.openxmlformats.org/officeDocument/2006/custom-properties" xmlns:vt="http://schemas.openxmlformats.org/officeDocument/2006/docPropsVTypes"/>
</file>