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Iekārtu aprite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iekārtas faktiskais valdītājs (fiziska vai juridiska persona) reģistrē tabakas izstrādājumu un augu smēķēšanas produktu ražošanas iekārtu reģistrā (turpmāk – iekārtu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Iekārtas faktiskais valdītājs iekārtu reģistrā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pirmreizējo reģistrāciju,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 uz iekārtu reģistra izveides brīdi atrodas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 tiek ievesta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iekārta tiek izgatavota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izmaiņu reģistrāciju, ja 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iekārtas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iekārtas atrašanās vietas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personas, kas reģistrējusi iekārtu, identificējošā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izslēgšanu no iekārtu reģistra, ja iekārtu: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izved no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iznīcina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Pārvadātājs (fiziska vai juridiska persona) paziņo iekārtu reģistrā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aizliegts saņemt, uzglabāt, izmantot un pārvietot iekārtas, kuras nav reģistrētas iekārtu reģistrā vai par kurām nav paziņots iekārtu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iekārtu reģistram un iestādes, kurām piešķiramas piekļuves tiesības iekārtu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iekārtu pirmreizējai reģistrācijai, izmaiņu reģistrācijai un izslēgšanai no iekārtu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pārvadātājs iekārtu reģistrā paziņo par iekārtām, kuras ieved Latvijā vai  kuras  pārvieto caur Latvijas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nosacījumi par reģistrāciju iekārtu reģistrā neattiecas uz tām iekārtām, kas nav reģistrētas iekārtu reģistrā un kuras ir lietiskais pierādījums vai arestētā manta kriminālprocesā, izņemtā manta administratīvo pārkāpumu lietā vai valstij piekritīgā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Atbildīgā iestāde paziņo iekārtu reģistra turētājam, ja iekārtu reģistrā reģistrēta iekārta kļūst par  lietisko pierādījumu vai arestēto mantu kriminālprocesā, izņemto mantu administratīvā pārkāpuma lietā vai valstij piekritīgo mantu, kā arī par izmaiņām iekārtas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Konfiscētās iekārtas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25.11.2025. atzinumā ietvertais iebildums ņemts vērā daļēji.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nepieciešamību reģistrā ietvert informāciju, vai iekārta, piemēram, ir pierādījums vai izņemtā manta administratīvā pārkāpuma procesā. Ja iekārta atrodas valsts rīcībā, tad nav konstatējams, kāds mērķis ir pieprasīt tik detalizētu informāciju. Tāpat jautājumus rada šādas stingras prasības savienojamība ar noteikumu, ka reģistrācija iekārtu reģistrā neattiecas uz tām iekārtām, kas nav reģistrētas iekārtu reģistrā un kuras ir lietiskais pierādījums vai arestētā manta kriminālprocesā, izņemtā manta administratīvā pārkāpuma lietā vai valstij piekritīgā manta.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pārskatīt likumprojekta 3. panta septīto daļu un apsvērt iespējas nenorādīt, ka "</w:t>
            </w:r>
            <w:r w:rsidR="00000000" w:rsidRPr="00000000" w:rsidDel="00000000">
              <w:rPr>
                <w:i w:val="1"/>
                <w:rtl w:val="0"/>
              </w:rPr>
              <w:t xml:space="preserve">iekārtu reģistrā reģistrēta iekārta kļūst par  lietisko pierādījumu vai arestēto mantu kriminālprocesā, izņemto mantu administratīvā pārkāpuma lietā vai valstij piekritīgo mantu, kā arī par izmaiņām iekārtas statusā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anotācijā nav ietverts pamatojums, kāpēc nepieciešams paziņot informāciju iekārtu reģistra turētājam tikai šajos gadījumos un kāpēc nepieciešama tik detalizēta informācija. Piemēram, kāpēc nebūtu pietiekami informēt, ka iekārta ir publiskas personas rīcībā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skaidrojums projekta anotācijā terminoloģiski nav saskaņots ar administratīvā pārkāpuma procesa regulējumu (piemēram, procesa virzītājs, uzraudzības vai kontroles iestāde). Tā rezultātā nav precīzi identificējams, kura būtu "atbildīgā iestāde". Administratīvā pārkāpuma procesa laikā kontrole vai uzraudzība nenotiek. Procesu veic amatpersona, nevis iestāde. Iespējams, ka šajā gadījumā ir domāta iestāde, kuras amatpersona attiecīgajā brīdī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12.12.2025.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12.12.2025.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