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papildus skaidrot, lai izvairītos no normatīvajos aktos iekļautās interpretācijas, ka uz ministriju padotības iestādēm (tai skaitā, muzejiem) attiecas visa tā pati kārtība, kādā tiek izstrādāts maksas pakalpojumu cenrādis, ievērojot, MK noteikumos Nr. 333 "Kārtība, kādā plānojami un uzskaitāmi ieņēmumi no maksas pakalpojumiem un ar šo pakalpojumu sniegšanu saistītie izdevumi, kā arī maksas pakalpojumu izcenojumu noteikšanas metodika un izcenojumu apstiprināšanas kārtība" noteikto maksas pakalpojumu izstrādes kārtību, tāpat ir jāievēro ministriju iekšējā maksas pakalpojumu cenrāžu izstrādes, iesniegšanas, saskaņošanas kārtība pirms Ministrs vai iestādes vadītājs apstiprina maksas pakalpojumu cenrādi.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Zandberga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18.02.2026.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18.02.2026.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