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 ir iesniedzis Vides investīciju fondā kredītiestādes avansa maksājuma garantijas vēstuli par pilnu avansa summu, kura izsniegta par labu ministrijai, un kredītiestādes garantijas termiņš nav īsāks par projekta īstenošanas termiņu, kā arī ietver nosacījumu par līdzekļu atmaksāšanu pēc pirmā pieprasījuma. Avansa maksājuma garantijā nosaka, ka kredītiestāde apņemas atmaksāt ministrijai nedzēsto avansa summu, ja finansējuma saņēmējam, pamatojoties projekta līguma nosacījumiem, ir iestājies pienākums atmaksāt avansu. Avansa garantija jāuztur spēkā līdz avansa summas dzēšanai 100 % apmērā no izmaksātā avansa;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(turpmāk – LAA) vēlas vērst ministrijas uzmanību uz aspektu, ka līdzvērtīgs produkts kredītiestādes garantijas vēstulei ir apdrošinātāja izsniegta apdrošināšanas polise, kurā ietverta apdrošinātāja neatsaucama apņemšanās izmaksāt apdrošināšanas atlīdzību pēc iestādes pirmā pieprasījuma, kā arī šā pieprasījuma neapstrīdamība. Ir daudz normatīvo aktu, kur šobrīd ir iekļautas iespējas finansējuma saņēmējiem izvēlēties kādu no sev pieejamiem nodrošinājuma veidiem (piemēram, likumi “Enerģētikas drošības un neatkarības veicināšanai nepieciešamās atvieglotās energoapgādes būvju būvniecības kārtības likums” “Par zemes dzīlēm”, “Par radiācijas drošību un kodoldrošību” un citi). Līdz ar to nav saprotams, kādēļ šajā normatīvajā aktā būtu nosakāma atšķirīga kārtība. LAA ieskatā apdrošināšanas polises neiekļaušana regulējumā var novest pie konkurences tiesību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