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23-TA-626: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tiek īstenota starpinstitucionālās sadarbības programma “Bērna māja”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Inspekcija noslēdz ar bērnu slimnīcu deleģēšanas līgumu par bērnu slimnīcas speciālistu piesaisti un sadarbības kārtību, īstenojot programmu “Bērna māja”.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redakciju, jo deleģējuma līgums paredz konkrētu saturu, kā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uzdevuma izpildes kvalitātes novērtējuma kritērijus, bet, ja līguma priekšmets ir vienreizējs uzdevums, — arī sasniedzamos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savstarpējo norēķinu kārtību, finansu un citu resursu piešķiršanas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regulāro pārskatu un ziņojumu 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pilnvarotās personas darbības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Inspekcija noslēdz ar bērnu slimnīcu pakalpojuma līgumu par bērnu slimnīcas speciālistu piesaisti un sadarbības kārtību, īstenojot programmu “Bērna māja”.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Patrīcija Kradiņa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bērnu slimnīca, ģimenes ārsti, citi ārstniecības pakalpojumu sniedzēji, - lai nodrošinātu vardarbībā cietušajiem bērniem medicīnisko palīdzību;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redakciju aiz vārda "bērniem" papildinot ar "medicīniskās apskates un/vai".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bērnu slimnīca, ģimenes ārsti, citi ārstniecības pakalpojumu sniedzēji, - lai nodrošinātu vardarbībā cietušajiem bērniem medicīniskās apskates un/vai medicīnisko palīdzību;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Patrīcija Kradiņa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 pielikuma 2. sadaļu "Nomas maksa un komunālie pakalpojumi" lūgums papildināt ar piezīmi šādā redakcijā</w:t>
            </w:r>
            <w:r w:rsidR="00000000" w:rsidRPr="00000000" w:rsidDel="00000000">
              <w:rPr>
                <w:i w:val="1"/>
                <w:rtl w:val="0"/>
              </w:rPr>
              <w:t xml:space="preserve"> "**Nomas maksa tiek pārskatīta saskaņā ar Ministru kabineta 2018. gada 20. februāra noteikumiem Nr. 97 “Publiskas personas mantas iznomāšanas noteikumi”)  un komunālie maksājumi tiek noteikti pēc faktiskā patēriņa un pakalpojuma sniedzēja tarifiem.”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Patrīcija Kradiņa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anotācijas 1. pielikuma 1. sadaļas "Atlīdzība" "Personāls/ārpakalpojumā" izņemt </w:t>
            </w:r>
            <w:r w:rsidR="00000000" w:rsidRPr="00000000" w:rsidDel="00000000">
              <w:rPr>
                <w:i w:val="1"/>
                <w:rtl w:val="0"/>
              </w:rPr>
              <w:t xml:space="preserve">"Līgumā ietvertā summa paredzēta piemaksu piešķiršanai ārstniecības personām par darbu Bērna mājā. Minētajā līgumā tiks ietverti nosacījumi, kādas darbības ārstniecības personām jāveic Bērna mājā, saskaņā ar kādiem kritērijiem, kā arī tiks noteikta minēto piemaksu regularitāte", </w:t>
            </w:r>
            <w:r w:rsidR="00000000" w:rsidRPr="00000000" w:rsidDel="00000000">
              <w:rPr>
                <w:rtl w:val="0"/>
              </w:rPr>
              <w:t xml:space="preserve">ņemot vērā, ka identiskas izmaiņas tika veiktas citās anotācijas daļās.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"*Lai nodrošinātu bērna medicīnisko apskati Bērna mājā, katrā atsevišķā gadījumā pēc nepieciešamības tiek piesaistīti 2 BKUS speciālisti (ārsts pediatrs un māsa, jeb mediķu komanda, kopā pieejamas 3 komandas). Nepieciešamības gadījumā tiek piesaistīts arī BKUS bērnu ginekologs vai ķirurgs(zēniem), speciālistu piesaisti koordinē BKUS pārstāvis. Speciālistu piesaisti un apmaksu regulē Līgums BKUS un VBTAI starpā (samaksa par faktiski BM sniegto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Patrīcija Kradiņa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23-TA-626</w:t>
    </w:r>
    <w:r>
      <w:br/>
    </w:r>
    <w:r w:rsidR="00000000" w:rsidRPr="00000000" w:rsidDel="00000000">
      <w:rPr>
        <w:rtl w:val="0"/>
      </w:rPr>
      <w:t xml:space="preserve">Izdrukāts 05.10.2023. 16.37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23-TA-626</w:t>
    </w:r>
    <w:r>
      <w:br/>
    </w:r>
    <w:r w:rsidR="00000000" w:rsidRPr="00000000" w:rsidDel="00000000">
      <w:rPr>
        <w:rtl w:val="0"/>
      </w:rPr>
      <w:t xml:space="preserve">Izdrukāts 05.10.2023. 16.37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Atzinumi_23-TA-626.docx</dc:title>
</cp:coreProperties>
</file>

<file path=docProps/custom.xml><?xml version="1.0" encoding="utf-8"?>
<Properties xmlns="http://schemas.openxmlformats.org/officeDocument/2006/custom-properties" xmlns:vt="http://schemas.openxmlformats.org/officeDocument/2006/docPropsVTypes"/>
</file>