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Aizsardzības un drošības jomas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Pasūtītājs var paredzēt iespēju iesniegt piedāvājumu variantus. Paziņojumā par līgumu un paziņojumā par apakšuzņēmuma līgumu norāda, vai piedāvājumu variantu iesniegšana ir obligāta, pieļaujama vai nav atļauta."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9. pantā ietvertā Aizsardzības un drošības jomas iepirkumu likuma (turpmāk - likums) 20. panta otrajā daļā izslēgt pirmo teikumu kā likuma 20. panta pirmajā daļā ietvertā regulējuma dublējošu vai alternatīvi lūdzam izslēgt 20. panta pirmo daļu. Norādām, ka šobrīd nav viennozīmīgi skaidrs, vai piedāvājumu variantu iesniegšanas iespēja tiek paredzēta vienīgi gadījumos, ja par piedāvājuma izvēles kritēriju noteikts saimnieciski visizdevīgākais piedāvājums.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14. pantā ietvertajā likuma 31. panta 1.</w:t>
            </w:r>
            <w:r w:rsidR="00000000" w:rsidRPr="00000000" w:rsidDel="00000000">
              <w:rPr>
                <w:vertAlign w:val="superscript"/>
                <w:rtl w:val="0"/>
              </w:rPr>
              <w:t xml:space="preserve">1</w:t>
            </w:r>
            <w:r w:rsidR="00000000" w:rsidRPr="00000000" w:rsidDel="00000000">
              <w:rPr>
                <w:rtl w:val="0"/>
              </w:rPr>
              <w:t xml:space="preserve">daļā paredzēt regulējumu, kas ir jānorāda iepriekšējā informatīvajā paziņojumā (sk. šo regulējumu šobrīd spēkā esošā likuma 31. panta pirmās daļas 1., 2. un 3. punktā),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18. punktā ietverto iebildumu lūdzam papildināt likumprojekta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norādi par Eiropas Parlamenta un Padomes 2009. gada 13. jūlija Direktīvas 2009/81/EK, ar kuru koordinē procedūras attiecībā uz to, kā līgumslēdzējas iestādes vai subjekti, kas darbojas drošības un aizsardzības jomā, piešķir noteiktu būvdarbu, piegādes un pakalpojumu līgumu slēgšanas tiesības, un ar kuru groza Direktīvas 2004/17/EK un 2004/18/EK, pārņemšanu likumprojektā, informāciju par šīs direktīvas prasību pārņemšanu ietverot anotācijas 5. sadaļas ievaddaļā un 5.4. sadaļas 1. tabulā (norādot konkrētas direktīvas normas, kuras tiek pārņemtas 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pamatotu skaidrojumu par Komisijas 2019.gada 23.septembra Īstenošanas regulas (ES) 2019/1780, ar ko izveido standarta veidlapas paziņojumu publicēšanai publisko iepirkumu jomā un atceļ Īstenošanas regulu (ES) 2015/1986 (“e-veidlapas”) , 3.a pantā ietvertās rīcības brīvības izmantošanu vai neizmantošanu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 pants. Paziņojums par līgumu un grozījumu veikšanu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likumprojekta 15. pantā ietvertā likuma 32. panta nosaukumu, norādot vienīgi uz paziņojumu par līgumu, ņemot vērā, ka paziņojums par grozījumu veikšanu atbilstoši likumprojekta anotācijā minētajam nav uzskatāms par atsevišķu paziņojumu.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pasūtītājs ir pieņēmis lēmumu par iepirkuma procedūras izbeigšanu vai pārtraukšanu, tas publicē paziņojumu par līguma slēgšanas tiesību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17. pantā ietvertajā likuma 34. panta otrajā daļā atsaukties uz šī likuma 51. pantā noteikto, tādējādi nodrošinot strukturāli skaidru un pārredzamu sasaisti starp minētajām likuma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anotācijā norādīto likumprojekta spēkā stāšanās datumu ar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22-TA-3246</w:t>
    </w:r>
    <w:r>
      <w:br/>
    </w:r>
    <w:r w:rsidR="00000000" w:rsidRPr="00000000" w:rsidDel="00000000">
      <w:rPr>
        <w:rtl w:val="0"/>
      </w:rPr>
      <w:t xml:space="preserve">Izdrukāts 21.06.2023.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22-TA-3246</w:t>
    </w:r>
    <w:r>
      <w:br/>
    </w:r>
    <w:r w:rsidR="00000000" w:rsidRPr="00000000" w:rsidDel="00000000">
      <w:rPr>
        <w:rtl w:val="0"/>
      </w:rPr>
      <w:t xml:space="preserve">Izdrukāts 21.06.2023.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Atzinumi_22-TA-3246.docx</dc:title>
</cp:coreProperties>
</file>

<file path=docProps/custom.xml><?xml version="1.0" encoding="utf-8"?>
<Properties xmlns="http://schemas.openxmlformats.org/officeDocument/2006/custom-properties" xmlns:vt="http://schemas.openxmlformats.org/officeDocument/2006/docPropsVTypes"/>
</file>