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Dokumentos ir acīmredzama disproporcija: VARAM jaunajām centralizētajām funkcijām tiek paredzēts īpašs ERAF kapacitātes projekts un papildus amata vietas, bet nozaru ministrijām paredzēts ievērojami palielināt izvērtēšanas, arhitektūras, portfeļa pārvaldības un uzraudzības pienākumus bez analoga resursu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resora 96 IKT amata vietas pašas par sevi nav “brīvs resurss”. Pielikums Nr. 5 neanalizē šo darbinieku noslodzi, kompetences, neaizvietojamību vai iesaisti konkrētās kritiskās sistēmās. Tādēļ šo skaitu nevar izmantot kā pamatojumu štatu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vismaz 6–12 mēnešu paralēlās darbības periods pirms kritiskas funkcijas pilnīgas nodošanas.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dokumentos noteikt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kompetenču konsolidācijas rezultātā nav pieļaujama nozaru pamatdarbības kritisko kompetenču samazināšana vai funkciju pārcelšana, pirms kompetences centrs ir pierādījis spēju nodrošināt vismaz līdzvērtīgu pakalpojuma kvalitāti, pieejamību un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pašreizējās redakcijas nav iespējams pilnvērtīgi izvērtēt piedāvātā IKT pārvaldības centralizācijas modeļa ietekmi uz ministrijām un to padotības iestādēm. Nav pietiekami skaidrs, kuras funkcijas tiks centralizētas, kuras paliks iestāžu pārziņā un kā praksē tiks sadalīta atbildība starp centralizētajā modelī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informācijas sistēmu pārvaldības jautājumi. Ziņojumā nav skaidri noteikts, kura institūcija pēc centralizācijas būs atbildīga par sistēmu pārziņa funkcijām, datu aizsardzības prasību izpildi, piekļuves tiesību pārvaldību, drošības incidentu risināšanu, sistēmu attīstības lēmumiem un sadarbību ar piegādātājiem. Tāpat nav saprotams, kā tiks risināti jautājumi par informācijas sistēmu, pirmkoda, datu, dokumentācijas un citu IKT aktīvu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var veidoties situācija, kurā iestādei normatīvajos aktos saglabājas atbildība par funkcijas un informācijas sistēmas darbības nodrošināšanu, taču būtiska daļa no nepieciešamajām pilnvarām un resursiem atrodas citas institūcijas pārziņā. Šāds modelis var radīt neskaidrības gan ikdienas darbībā, gan gadījumos, kad nepieciešama operatīva lēmumu pieņemšana vai atbildības noteikšana incidentu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nepietiekami analizēts arī jautājums par kompetencēm, kurām būtu jāsaglabājas pašās iestādēs. Lai arī centralizācija var sniegt ieguvumus, iestādei jebkurā gadījumā ir nepieciešama spēja definēt prasības, pārraudzīt sistēmu attīstību, kontrolēt piegādātāju darbu un nodrošināt savu pienākumu izpildi datu aizsardzības, informācijas drošības un darbības nepārtrauktības jomā. Tādēļ nav pietiekami pamatota pieeja, kas paredz plašu IKT darbinieku vai funkciju pārcelšanu bez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trūkst detalizēta pārmaiņu īstenošanas apraksta. Nav pietiekamas informācijas par personāla, līgumu, aktīvu, finansējuma un saistību nodošanas kārtību, kā arī par kompetences centru sniedzamo pakalpojumu saturu, kvalitātes prasībām un atbildību gadījumos, kad pakalpojums netiek sniegts atbilstošā apjomā vai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nepieciešams arī par administratīvo slogu, ko radīs jaunie projektu pārvaldības un saskaņošanas procesi. No Ziņojuma nav iespējams pārliecināties, ka centralizācijas rezultātā tiks samazināts, nevis palielināts iestāžu administratīvais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pašreizējā redakcijā nav iespējams pietiekami pamatoti izvērtēt, vai paredzētie ieguvumi atsver ar centralizāciju saistītos riskus, izmaksas un iespējamo ietekmi uz iestāžu spēju izpildīt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Rudzītis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ievadā ir skaidri norādīts, ka jau īstenošanā esošie ES fondu un citu ārvalstu finanšu instrumentu finansētie projekti un tajos saskaņotās aktivitātes turpinās bez izmaiņām apstiprinātajā tvērumā. Šis princips ir pareizs, bet tas nav pietiekami nostiprināts MK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jo jaunie nosacījumi attiecībā uz EIS izmantošanu, pirmkodu, iepirkuma metodi, centralizētiem risinājumiem un kompetences centriem var netieši ietekmēt jau plānotus iepirkumus vai projektus, kuru finansēšanas lēmumi jau ir pieņemti.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EPPO/KNAB procesu kontekstā dokumenti jau konstatē gadījumus, kad līgumu pārtraukšana un atkārtota iepirkšana ir radījusi būtisku projektu termiņu risku. Tāpēc papildus administratīvo procedūru ieviešana pārejas periodā var vēl vairāk palielināt neizpildes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protokollēmumu papildināt ar jaunu punktu: “Šā protokollēmuma 2.–4. punktā paredzētās jaunās prasības nepiemēro IKT resursu attīstības aktivitātēm, kurām līdz attiecīgās prasības spēkā stāšanās dienai ir apstiprināts finansējums, projekta pase, noslēgts līgums vai uzsākta iepirkuma procedūra, izņemot gadījumus, kad projekta īstenotājs pats pieņem lēmumu par jaunās kārtības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pats konstatē strukturālu problēmu — valsts IKT attīstības atkarību no ES fondu finansējuma un nepietiekamu bāzes finansējumu. Vienlaikus jaunā pārvaldības modeļa centrālo funkciju izveidi atkal paredzēts finansēt no ERAF projekta. Tādējādi jaunais pārvaldības modelis daļēji tiek būvēts uz finansēšanas mehānisma, kuru pats ziņojums identificē kā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būtiski ir iepriekš noteikt, kas pēc ERAF projekta beigām finansēs: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un ekspertu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platformu licenču un infrastruktūras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resoru migrācijas;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pārnesi;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sistēmu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paralēlu sistēmu darbību pārejas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Dokumentos šāds pilna dzīves cikla finansēšanas modelis nav pietiekami konkretizēts.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protokollēmumā iekļaut punktu:“Pirms centralizēta pakalpojuma obligātas izmantošanas VARAM sadarbībā ar FM sagatavo tā pilna dzīves cikla finansēšanas modeli, nosakot centralizēti un no resoru budžetiem finansējamo izmaksu sadalījumu un apliecinot, ka pāreja nerada nozaru ministrijām nesegtas papildu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paredz trīs līmeņu izvērtēšanas pilotprojektu jau no 2026. gada 1. septembra, jauno regulējumu līdz 30. septembrim un pastāvīgā procesa priekšlikumu līdz 1. oktobrim. Tajā pašā laikā pielikumā Nr. 4 norādīts cits procesa sākuma datums — 2026. gada 16. augusts. Šāda pretruna rada juridisku un praktisku nenoteiktību par to, kurā datumā un uz kāda normatīvā pamata jaunā kārtība faktiski sāk piemēroties.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pats ziņojums atzīst, ka pilnvērtīgai jaunās VARAM funkcijas īstenošanai nepieciešams ERAF finansējums, ekspertu piesaiste un papildu amata vietas. Tātad paredzēts, ka resori faktiski sāk piemērot jaunu procesu vēl pirms centrālā procesa kapacitāte un normatīvais ietvars ir pilnībā izveidots.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pēc tiesību akta “Valsts digitālās pārvaldes resursu attīstības kārtība” spēkā stāšanās, bet ne agrāk kā no 2027. gada 1. janvāra, uzsākt trīs līmeņu IKT resursu attīstības aktivitāšu lietderības un iepirkumu plānu izvērtēšanas modeļa pilotprojektu. Pilotprojekta laikā jaunās prasības piemēro tikai jaunām IKT resursu attīstības aktivitātēm, kuru ieceres sagatavošana uzsākta pēc pilotprojekta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līmeņa aktivitātēm 140 000–3 000 000 EUR apmērā paredzēts, ka nozares ministrija pati veic lietderības, alternatīvu, arhitektūras, iepirkuma metodes, uzturēšanas izmaksu un risku izvērtējumu, kam papildus nepieciešams VARAM “IKT būvvaldes” saskaņojums. Tas nozīmē nevis centralizāciju, bet jaunas resora līmeņa kontroles funkcijas izveidi paralēli esošajai iestādes projektu vadībai, iepirkumu kontrolei, iekšējai finanšu kontrolei un VARAM saskaņojumam.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apgalvo, ka sākotnējais pamatojums “nav papildu birokrātisks solis”, tomēr faktiski tajā tiek prasīts vismaz biznesa pamatojums, trīs alternatīvas, septiņu gadu izmaksu un ieguvumu novērtējums, arhitektūras izvērtējums, pirmkoda un datu pārvaldības nostādne un pilns riska profils. Vidējas sarežģītības projektam tas var būt ievērojams papildu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resorā tas radītu nepieciešamību ministrijas centrālajā aparātā izveidot pastāvīgu portfeļa izvērtēšanas kompetenci, lai vērtētu padotības iestāžu projektus, lai gan finansējums vai papildu amata vietas nozaru ministrijām dokumentos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lietderīgi būtu paaugstināt otrā līmeņa apakšējo slieksni, piemēram, no 140 000 EUR uz 300 000–500 000 EUR vai noteikt diferencētu slieksni atbilstoši aktivitātes būtiskumam, ne tikai līgumcenai.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pirms pilna trīs līmeņu izvērtēšanas modeļa ieviešanas sadarbībā ar nozaru ministrijām novērtēt jaunā procesa radīto administratīvo slogu un cilvēkresursu nepieciešamību un nodrošināt, ka jaunas kontroles un izvērtēšanas funkcijas nozaru ministrijām netiek noteiktas bez atbilstoša finansējuma un personāla resursu risinājuma."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tiek uzdots mazāk nekā piecu mēnešu laikā izstrādāt vai aktualizēt jomu arhitektūras. Vienlaikus arhitektūra turpmāk paredzēta kā priekšnoteikums investīciju saskaņošanai. Tas rada risku, ka metodikas neskaidrības vai nepabeigtas arhitektūras dēļ 2027. gada sākumā tiek bloķētas jaunas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līdz 2027. gada 1. jūnijam izstrādāt vai aktualizēt digitālās pārvaldes jomu arhitektūras atbilstoši VARAM apstiprinātai metodikai. Līdz jomas arhitektūras apstiprināšanai IKT aktivitāšu saskaņošanu turpina atbilstoši esošajai kārtībai, un arhitektūras izstrādes kavējums pats par sevi nav pamats investīcijas virzības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izteikts pieņēmums, ka visu valsts IKT kompetenču koncentrēšana 10–12 centros ar 120–160 darbiniekiem katrā nodrošinātu optimālāku pārvaldību. Tomēr pats ziņojums vienlaikus atzīst, ka institūcijām ar augstu automatizācijas un tehnoloģiju briedumu specializētās programmatūras pārvaldības nodošana citām institūcijām var nebūt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zemkopības resora viedokļa tas ir principiāls nosacījums. Nozares informācijas sistēmas ir cieši saistītas ar specifiskiem pamatdarbības procesiem un ES politiku īstenošanu. Dokumentos nav veikts detalizēts zemkopības resora sistēmu, kompetenču, SLA, kritisko funkciju, datu, līgumu un personāla izvērtējums, tādēļ no iesniegtajiem dokumentiem nevar secināt, ka šo kompetenču nodošana ārpus resora būtu ekonomiski vai funkcionāli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pats ziņojums paredz pakāpenisku centralizēto pakalpojumu tvēruma paplašināšanu, ņemot vērā esošās līgumsaistības, centra spējas un resoru atšķirīgos procesus. Šis princips būtu jānostiprina MK lēmuma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protokollēmuma 3.2. punktu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līdz 2027. gada 1. februārim sadarbībā ar VARAM izvērtēt iespējas izmantot specializētu kompetences centru pakalpojumus. IKT kompetenču, amata vietu, finansējuma, sistēmu vai tehnoloģisko funkciju nodošana kompetences centram īstenojama tikai pēc attiecīgās nozares darbības nepārtrauktības, informācijas drošības, pakalpojumu kvalitātes, izmaksu, esošo līgumsaistību un cilvēkresursu ietekmes izvērtējuma un pēc atsevišķa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paredz no 2026. gada 1. decembra noteikt koda publicēšanu repozitorijos par obligātu prasību individuālām izstrādēm. Vienlaikus VARAM aptaujā 46% aktivitāšu norādījušas drošības apsvērumus kā koda nepublicēšanas iemeslu. Tas nenozīmē, ka visi šie pamatojumi ir objektīvi, taču apliecina, ka absolūta prasība bez izņēmumu mehānisma nav pietiekami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Jānodala valsts pieeja pirmkodam no publiskas pirmkoda pieejamības. Valstij jānodrošina pieeja, kontrole un iespēja nodot kodu citam izstrādātājam, taču publiska pieejamība ne vienmēr ir nepieciešama vai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septembrim noteikt prasību, ka individuālu programmatūras izstrāžu pirmkods un ar tā uzturēšanu nepieciešamā dokumentācija ir pieejama pasūtītājam un glabājama valsts noteiktā koda repozitorijā. Publisku pirmkoda pieejamību piemēro, ja vien informācijas sistēmas drošības, valsts noslēpuma, ierobežotas pieejamības informācijas, personas datu aizsardzības, intelektuālā īpašuma vai citu objektīvi pamatotu apsvērumu dēļ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pamatoti identificē konkurences problēmas EIS katalogos. Programmatūras pakalpojumu katalogā 29% analizēto pozīciju ir viena piegādātāja pozīcijas, un vēl 56 pozīcijās pieejami tikai divi piegādātāji. Taču EIS katalogu slēgšana vai būtiska ierobežošana īsā termiņā var radīt pretēju efektu: katrai iestādei būs jāorganizē atsevišķi iepirkumi, pieaugs iepirkumu speciālistu un IKT ekspertu noslodze, kā arī iepirkuma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riskanti projektiem ar ES fondu termiņiem. EPPO/KNAB situācija jau ir apliecinājusi, ka atkārtots iepirkums var kļūt par kritisku termiņa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 oktobrim sadarbībā ar Valsts digitālās attīstības aģentūru un Iepirkumu uzraudzības biroju izvērtēt EIS IKT katalogus un sagatavot to pārveides plānu, paredzot katalogu slēgšanu vai ierobežošanu tikai pēc tam, kad attiecīgajai preču vai pakalpojumu grupai ir nodrošināts funkcionējošs alternatīvs iepirkuma instruments un pāreja neapdraud jau apstiprinātu projektu īstenošanas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Zemkopības resora skatpunkta būtu nepieciešams vēl risināt vairākus jautājumus, kuri pašreizējā materiālā nav pietiekami konkretizēti: kompetences centra juridiskā atbildība par pakalpojuma pārtraukumu; SLA un sankcijas; prioritāšu konflikta risināšana, ja centralizētajam centram vienlaikus ir vairāku resoru kritiskas vajadzības; rīcība ārkārtas situācijās, kad resoram nepieciešama tūlītēja sistēmas izmaiņa; datu pārziņa un tehnoloģiskā pakalpojuma sniedzēja atbildības nodalījums; izmaksu pārdales mehānisms starp resoriem; un kompetences centra pakalpojuma atteikuma vai neapmierinošas kvalitātes gadījumā piemērojamais “exit”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ārvalstu pieredzes izmantošana ziņojumā pati par sevi nepierāda konkrētā institucionālā modeļa piemērotību Zemkopības resoram. Pielikums Nr. 6 piedāvā vairākus iespējamos kompetenču centrus, bet tajā nav veikta atsevišķa Zemkopības nozares tehnoloģiskā modeļa analīze. Tādēļ jebkāds lēmums par Zemkopības resora kompetenču nodošanu būtu pieņemams tikai pēc resora specifiska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ziņojumā identificētās problēmas — sadrumstalota uzraudzība, piegādātāju koncentrācija, nepietiekama investīciju pārskatāmība un nevienmērīga projektu kontrole — ir pamatotas arī ar VARAM aptaujas un iepirkumu analīzes rezultātiem. Taču piedāvātā risinājuma arhitektūra pašreizējā redakcijā vairāk detalizē VARAM jaunās pilnvaras nekā šo pilnvaru ietekmi uz nozaru ministriju kapacitāti, finansējumu un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detalizēti nosaka pienākumus projektu iesniedzējiem, taču nepietiekami nosaka VARAM un citu centrālo izvērtētāju atbildes termiņus. Ja saskaņojums kļūst par obligātu projekta priekšnosacījumu, centrālās institūcijas kavējums kļūst par resora projekta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būtiski mazinātu risku, ka centralizācija kļūst par projektu “pudeles kaklu”.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projektu ar punktu: “VARAM sākotnējo IKT aktivitātes izvērtējumu veic ne ilgāk kā 10 darbdienu laikā, bet lielas vai stratēģiskas aktivitātes izvērtējumu — ne ilgāk kā 20 darbdienu laikā pēc pilnas informācijas saņemšanas. Ja noteiktajā termiņā nav sniegti iebildumi vai motivēts termiņa pagarinājums, aktivitātes virzība netiek apturēta.”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