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MK noteikumu projekta virzība ir atbalstāma vienlaicīgi vai pēc Informatīvā ziņojuma par Atveseļošanas fonda 2.3.2.1.i. investīcijas ieviešanu, jo 2.3.2.3.i. investīcijas uzraudzības kārtība noteikta 2.3.2.1.i. investīcijas ziņojuma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datu pārraides interneta pakalpojuma un iekšējā interneta tīkla funkcionēšanas uzlabojumi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tiks nodrošināts finansējums sadarbības partneriem 15.2.punktā noteikto uzlabojumu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Iļjinska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portatīvās datortehnikas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Padomes īstenošanas lēmumā par Latvijas Atveseļošanas un noturības plāna novērtējuma apstiprināšanu (turpmāk - CID) ir noteikts rādītāju termiņš datoru iegādes izmaksām līdz 2023.gada 31.decembrim (iekļauts šo noteikumu projekta 4.2.apakšpunktā), tad lūdzam iekļaut attiecīgu atsauci uz darbību un izmaksu termiņu MK noteikumu projekta 19.1. un 15.1.apakšpunktos.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ir attiecināmas no šo noteikumu spēkā stāšanās brīža. Izmaksas par darbībām, kuras tiek pabeigtas līdz projekta informācijas apstiprināšanai, netiek attiecinātas.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šo noteikumu spēkā stāšanās brīža. Izmaksas par darbībām, kuras tiek pabeigtas līdz projekta apstiprināšanai, netiek attiecinātas.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Iļjinska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maksājumu veikšanas un grāmatvedības uzskaites kārtība, tai skaitā  PVN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jaunajā MK noteikumu projekta redakcijā ir mainīta investīcijas ieviešanas kārtība, tad aicinām izvērtēt, vai MK noteikumu projektā nebūtu jāparedz maksājuma pieprasījuma veidi (avansa, starpposma, noslēguma maksājuma pieprasījums) un sasaiste ar projekta sasniedzamajiem atskaites punktiem un mērķiem, kā arī pienākums iesniegt plānoto maksājumu pieprasījumu iesniegšanas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27.12.5. rīcība nepārvaramas varas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numerāciju noteikumu projekta 27.12.5. un 27.12.6.apakšpunktiem.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saņēmējam ir pienākums atgriezt pārmaksāto PVN daļu, ja investīcijas projektā sākotnēji plānotais PVN apjoms ir lielāks nekā faktiski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iepriekšējās MK noteikumu redakcijas 28.punkta svītrošanu, norādām, ka MK noteikumos ir jānosaka pienākums finansējuma saņēmējam pirms finansējuma saņemšanas PVN izmaksu apmērā, sniegtu apliecinājumu, ka minētās summas nav un netiks atgūtas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10.lpp., kur tiek norādīti CID rādītāji un to apraksts, iekļaut atsauci uz CID.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"Atbalstāmās darbības un izmaksu attiecināmības nosacījumi" precizēt Eiropas Savienības fondu 2021.-2027. gada plānošanas perioda un Atveseļošanas fonda komunikācijas un dizaina vadlīniju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6.apakšsadaļu papildināt ar atsauci uz 2022.gada 18.oktobra Ministru kabineta sēdes protokola paragrāfu - 70.§.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