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5. decembra noteikumos Nr. 982 "Enerģētikas infrastruktūras 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Attiecīgais gāzesvadu, gāzapgādes iekārtu un būvju, gāzes krātuvju urbumu īpašnieks vai valdītājs informē zemes īpašnieku vai tiesisko valdītāju, nosūtot paziņojumu par trases vai aizsargjoslas tīrīšanas darbu veikšanu uz zemes īpašnieka vai tiesiskā valdītāja deklarētās dzīvesvietas adresi vai oficiālo elektronisko adresi, ja tie nav rakstiski vienojušies par citu saziņas veidu, un noteikumu 40.3. punkta gadījumā pievienojot informāciju par attīrāmās trases platumu. Ja zemes īpašnieks vai tiesiskais valdītājs 15 dienu laikā pēc informēšanas par trases tīrīšanas darbu veikšanu nav paudis savu gribu rīkoties ar nocirstajiem kokiem, krūmiem, gāzesvadu, gāzapgādes iekārtu un būvju, gāzes krātuvju urbumu īpašnieks vai valdītājs ar tiem rīkojas pēc saviem ieskatiem (atstājot tos trasē, sasmalcinot, aizvācot vai novietojot attīrāmās platības ārējā malā), uzturot trasi, aizsargjoslas tādā stāvoklī, kas nodrošina gāzesvadu, gāzapgādes iekārtu un būvju, gāzes krātuvju urbumu drošu ekspluatāciju.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iebildumu par Noteikumu Nr. 982 40.</w:t>
            </w:r>
            <w:r w:rsidR="00000000" w:rsidRPr="00000000" w:rsidDel="00000000">
              <w:rPr>
                <w:vertAlign w:val="superscript"/>
                <w:rtl w:val="0"/>
              </w:rPr>
              <w:t xml:space="preserve">1</w:t>
            </w:r>
            <w:r w:rsidR="00000000" w:rsidRPr="00000000" w:rsidDel="00000000">
              <w:rPr>
                <w:rtl w:val="0"/>
              </w:rPr>
              <w:t xml:space="preserve"> punktā iekļautā vārda “aizvācot” svītrošanu vai precizēšanu, t.i., īpašnieka piekrišanas saņemšanu. Tāpat tiek uzturēts iebildums par minētās normas skaidrošanu anotācijā, ne tikai izziņā. Lūdzam arī skaidrot, kādēļ minētā norma attiecas tikai uz 40.3.apakšpunktu un neattiecas uz pārējiem apakšpunktiem, ņemot vērā 40.punktā noteikto [..] attīra no krūmiem un kokiem (no 40.1. līdz 40.6.apakšpunktam).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nepamatoti norādīts, ka koku “aizvākšana” ir iekļauta jau šajos noteikumos pie elektriskajiem tīkliem (tāpēc piemērojama analoģija), kas neatbilst patiesībai (skatīt Noteikumu Nr.982 3.</w:t>
            </w:r>
            <w:r w:rsidR="00000000" w:rsidRPr="00000000" w:rsidDel="00000000">
              <w:rPr>
                <w:vertAlign w:val="superscript"/>
                <w:rtl w:val="0"/>
              </w:rPr>
              <w:t xml:space="preserve">3</w:t>
            </w:r>
            <w:r w:rsidR="00000000" w:rsidRPr="00000000" w:rsidDel="00000000">
              <w:rPr>
                <w:rtl w:val="0"/>
              </w:rPr>
              <w:t xml:space="preserve"> punktu). Tieslietu ministrija vērš uzmanību, ka koku “aizvākšana” konkrētajā gadījumā var tikt interpretēta (uzskatīta) kā atsavināšana, par kuru zemes īpašniekam vai tiesiskajam valdītājam ir jāparedz atlīdzība. Turklāt šo apgalvojumu pastiprina projekta virzītāja piedāvātā 48.</w:t>
            </w:r>
            <w:r w:rsidR="00000000" w:rsidRPr="00000000" w:rsidDel="00000000">
              <w:rPr>
                <w:vertAlign w:val="superscript"/>
                <w:rtl w:val="0"/>
              </w:rPr>
              <w:t xml:space="preserve">1</w:t>
            </w:r>
            <w:r w:rsidR="00000000" w:rsidRPr="00000000" w:rsidDel="00000000">
              <w:rPr>
                <w:rtl w:val="0"/>
              </w:rPr>
              <w:t xml:space="preserve"> punkta redakcija – aizsargjoslas uzturēšanas [..] nocirstie koki un krūmi ir zemes īpašnieka vai tiesiskā valdītāja īpašums atbilstoši Civillikumā noteiktajam. Vēršam uzmanību, ka, piemēram, sabiedrības vajadzību nodrošināšanai nepieciešamā nekustamā īpašuma atsavināšanas procesā atsevišķa atlīdzība zemes īpašniekam ir paredzēta arī par kokiem. Tieslietu ministrija konceptuāli neiebilst pret pašu normu un izziņā norādītajiem apsvērumiem, bet iebilst par terminu “aizvākšana” un tajā ietilpstošajām tiesībām, kā arī Aizsargjosla likuma 59.panta pirmajā daļā pirmšķietamā deleģējuma neesamību Ministru kabinetam paredzēt koku atsavināšanu no privātpersonām bez maksas. Gadījumā, ja projekta virzītājs vēlas šādu terminu atstāt, tad normā būtu jāparedz obligāta īpašnieka vai tiesiskā valdītāja griba (atteikties) nepaturēt šos kokus vai jāparedz taisnīgs (jāatrunā kārtība) atlīdzinājums par koku “aizvākšanu”. Pirmšķietami arī šobrīd nekas neliedz vienoties ar īpašnieku par koku "aizvākšanu", tāpēc apsverams jautājums, vai lietderīgāk nav minēto vārdu dzēst no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10</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vēstules tiek sūtītas uz zemes īpašnieka vai tiesiskā valdītāja deklarētās dzīvesvietas adresi vai viņa norādīto elektroniskās saziņas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atbalsta Noteikumu Nr. 982 3</w:t>
            </w:r>
            <w:r w:rsidR="00000000" w:rsidRPr="00000000" w:rsidDel="00000000">
              <w:rPr>
                <w:vertAlign w:val="superscript"/>
                <w:rtl w:val="0"/>
              </w:rPr>
              <w:t xml:space="preserve">10</w:t>
            </w:r>
            <w:r w:rsidR="00000000" w:rsidRPr="00000000" w:rsidDel="00000000">
              <w:rPr>
                <w:rtl w:val="0"/>
              </w:rPr>
              <w:t xml:space="preserve"> punkta piedāvāto redakciju, vienlaikus aicinot izvērtēt, vai nevajadzētu normā iekļaut arī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izriet, ka informācijas vēstules zemes īpašniekam vai tiesiskajam valdītājam varēs nosūtīt uz deklarēto adresi un norādīto elektronisko saziņas adresi. Pirmšķietami, normā iekļaujot arī oficiālo elektronisko adresi, tiktu paredzēti dažādi (vairāki) zemes īpašnieka vai tiesiskā valdītāja sasniedzamības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gāzesvadu, kurā spiediens ir lielāks par 1,6 megapaskāliem un pie gāzesvadiem piederošo noslēgierīču laukumu, attīrīšanas un intelektuālo virzuļu palaišanas un pieņemšanas kameru mezglu trasi, līdz 15 metru platā joslā, kuru veido ne mazāk kā 3 metri no vienas gāzesvada ass vai attiecīgā, iepriekš uzskaitītā objekta iežogojuma puses un ne mazāk kā 9 metri, bet ne vairāk kā 12 metri no otras gāzesvada ass un attiecīgā, iepriekš uzskaitītā objekta iežogojuma puses, ņemot vērā gāzesvada un attiecīgo objektu faktisko novietojumu dabā;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kādēļ nepieciešams palielināt 40.3.apakšpunktā noteiktos attālumus.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un izziņā norādīto informāciju attālumi koriģēti 40.3., 40.5. un 40.6.apakšpunktā, ievērojot Aizsargjoslu likumā noteiktās ekspluatācijas aizsargjoslas robežas. Lai arī attāluma palielināšana un samazināšanā ievērotas aizsargjoslas robežas un samazināšana ir pamatota ar tehnoloģisko iekārtu uzlabošanos, anotācijā iztrūkst skaidrojuma, kādēļ dažus attālumus ir nepieciešams palielināt pie tehnoloģiskās attīstības.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23-TA-340</w:t>
    </w:r>
    <w:r>
      <w:br/>
    </w:r>
    <w:r w:rsidR="00000000" w:rsidRPr="00000000" w:rsidDel="00000000">
      <w:rPr>
        <w:rtl w:val="0"/>
      </w:rPr>
      <w:t xml:space="preserve">Izdrukāts 21.06.2024.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23-TA-340</w:t>
    </w:r>
    <w:r>
      <w:br/>
    </w:r>
    <w:r w:rsidR="00000000" w:rsidRPr="00000000" w:rsidDel="00000000">
      <w:rPr>
        <w:rtl w:val="0"/>
      </w:rPr>
      <w:t xml:space="preserve">Izdrukāts 21.06.2024.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Atzinumi_23-TA-340.docx</dc:title>
</cp:coreProperties>
</file>

<file path=docProps/custom.xml><?xml version="1.0" encoding="utf-8"?>
<Properties xmlns="http://schemas.openxmlformats.org/officeDocument/2006/custom-properties" xmlns:vt="http://schemas.openxmlformats.org/officeDocument/2006/docPropsVTypes"/>
</file>