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tajā skaitā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tajā skaitā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vairāku nozaru vai visu valsti skaroša apdraudējuma pārvaldīšanu un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risku un draudu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koordinē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īsteno pasākumu kopumu iespējamo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organizē un sadarbībā ar kompetentām institūcijām īsteno Ministru kabineta locekļu apmācību nacionālās drošības, tajā skaitā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sadarbojas ar citu valstu krīzes vadības centriem un starptautiskajām organizācijām, tajā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to rīcībā esošo informāciju, kas nepieciešama nacionālās drošības, tajā skaitā krīzes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2 </w:t>
            </w:r>
            <w:r w:rsidR="00000000" w:rsidRPr="00000000" w:rsidDel="00000000">
              <w:rPr>
                <w:b w:val="1"/>
                <w:rtl w:val="0"/>
              </w:rPr>
              <w:t xml:space="preserve">pants. Ministriju un citu valsts institūciju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3 </w:t>
            </w:r>
            <w:r w:rsidR="00000000" w:rsidRPr="00000000" w:rsidDel="00000000">
              <w:rPr>
                <w:b w:val="1"/>
                <w:rtl w:val="0"/>
              </w:rPr>
              <w:t xml:space="preserve">pants. Pašvaldību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23.2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savu iepriekš izteikto iebildumu, aicinām precizēt   23 3 prim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Paredzot pašvaldībās izveidot krīzes vadības struktūrvienību jāparedz valsts  finansējums (mērķdotācija) . Precizējama redakcija ,  Anotācijā  norādot finansējuma avotus. Līdz šim atsevišķas pašvaldības (Jelgava) struktūrvienību izveidoja ,  īstenojot Latvijas–Lietuvas pārrobežu sadarbības programmas 2014.–2020. gadam projektu «Civilās aizsardzības sistēmas pilnveidošana Jelgavas un Šauļu pilsētās , Rīgas pilsēta izmantojot savu budžetu. Pārējām pašvaldībām šādas struktūrvienības izveide ierobežota finansējuma apstākļos ir neiespējama. Uzskatām., ka šāda struktūrvienība pašreizējā ģeopolitiskajā situācijā ir nepieciešama  , taču tam nepieciešami papildus līdzekļi. Nav pieļaujama patreizējā situācija, ka pašlaik Civilās aizsardzības vajadzībām , krīzes vadībai finansējuma avoti netiek paredzēti, līdz šim nevienā no Likumiem  par budžetu un finanšu vadību civilās aizsardzības pasākumiem finansējums nav paredzēts.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radikāli  jāmaina  finanšu līdzekļu piesaistes kārtība, tādēļ uzturam prasību, ka likumprojektā jāizstrādā ļoti būtiska sadaļa "Finansējums un finanšu līdzekļu piesaistes kārtība" paredzot variantus, ka piesaistīt finanšu līdzekļus, ja tos piesaista: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krīzes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pašvaldības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24-TA-2678</w:t>
    </w:r>
    <w:r>
      <w:br/>
    </w:r>
    <w:r w:rsidR="00000000" w:rsidRPr="00000000" w:rsidDel="00000000">
      <w:rPr>
        <w:rtl w:val="0"/>
      </w:rPr>
      <w:t xml:space="preserve">Izdrukāts 02.01.2025.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24-TA-2678</w:t>
    </w:r>
    <w:r>
      <w:br/>
    </w:r>
    <w:r w:rsidR="00000000" w:rsidRPr="00000000" w:rsidDel="00000000">
      <w:rPr>
        <w:rtl w:val="0"/>
      </w:rPr>
      <w:t xml:space="preserve">Izdrukāts 02.01.2025.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Atzinumi_24-TA-2678.docx</dc:title>
</cp:coreProperties>
</file>

<file path=docProps/custom.xml><?xml version="1.0" encoding="utf-8"?>
<Properties xmlns="http://schemas.openxmlformats.org/officeDocument/2006/custom-properties" xmlns:vt="http://schemas.openxmlformats.org/officeDocument/2006/docPropsVTypes"/>
</file>