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no 9.1.1.1. pasākuma pārdalāmā finansējuma avotus, ņemot vērā, ka 9.1.1.1. pasākuma finansējums sastāv no trīs avotiem - ESF, valsts budžets un privātais finansējums, kur ESF finansējuma apmērs nepārsniedz 82,26 procentus no pasākumam pieejamā kopējā attiecināmā finansējuma un 95,18 procentus no pasākumam pieejamā publiskā attiecināmā finansējuma. Attiecīgi 9.1.1.1. pasākuma ietaupījumam būtu jāveidojas proporcionāli no diviem avotiem - ESF un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- 5.punktos un to apakšpunktos, kā arī  6.punktā norādīto informāciju attiecībā uz norādīto VARAM valsts budžeta apakšprogrammas 63.07.00 “Eiropas Sociālā fonda (ESF) projekti (2014–2020)” finansējumu 2023.gadam, jo saskaņā ar likumu “Par valsts budžetu 2023. gadam un budžeta ietvaru 2023., 2024. un 2025. gadam” minētajā apakšprogrammā ir pieejams finansējums  13 441 334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anotācijas 1.1. punktā "Pamatojums" "Apraksts" neietvert Eiropas Savienības struktūrfondu un Kohēzijas fonda 2014.–2020. gada plānošanas perioda vadības likuma nosaukumā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finansējuma nepietiekamību plānošanas reģionos, ņemot vērā, ka KPVIS sistēmā projektos parādās atlikums, piemēram Zemgales plānošanas reģiona projektam Nr. 9.2.2.1/15/I/001 "Atver sirdi Zemgalē" atlikums veido 2 818 333.47 euro (kopējās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9.2.2.specifiskā atbalsta mērķa "Palielināt kvalitatīvu institucionālai aprūpei alternatīvu sociālo pakalpojumu dzīvesvietā un ģimeniskai videi pietuvinātu pakalpojumu pieejamību personām ar invaliditāti un bērniem" rādītāju pasi, ņemot vērā plānotās izmaiņas 9.2.2.1.pasākuma "Deinstitucionalizācija"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tiks veikti grozījumi vienošanās/līgumos par projekta īstenošanu, kā arī ar skaidrojumu vai attiecīgie grozījumi nav uzskatāmi par būtiskiem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COVID-19 pandēmijas izraisīto seku mazināšanai plānoto finansējumu, kas tiek pārdalīts no 9.1.4.4.pasākuma un 9.1.1.1.pasākuma.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precizēt norādīto informāciju par Rīgas plānošanas reģiona projekta grozījumu ierosināšanu no 2023.gada 15.jūnija uz 2023.gada 2.jūniju.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precizēt norādīto informāciju par iztrūkstošo finansējumu Vidzemes plānošanas reģionam no 52 000 euro uz 52 552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"Tiesību akta projekta ietekme uz valsts budžetu un pašvaldību budžetiem" 6.punktā precizēt projektiem norādīto ESF un VB finansējumu, lai to kopsumma sakrīt ar kopējo ESF un VB finansnējumu, atskaitot [1] skaidrojumā norādītos neatbilstoši veiktos izdevumus 309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9.1.1.1.pasākuma projekts grozījumus, samazinot finansējumu, ir ierosinājis 2023.gada 7.jūlijā.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1., 2., 3. un 5.punktā, kā arī 1.1., 2.1. un 3.1.apakšpunktā precizēt 3.aillē “izmaiņas kārtējā gadā, salīdzinot ar valsts budžetu kārtējam gadam”  2023.gadam norādīto finansējuma palielinājumu atbilstoši anotācijas 6.punktā norādītajam. Vienlaikus lūdzam aizpildīt arī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6.punktu, norādot, ka pēc MK noteikumu projekta spēkā stāšanās projektam nepieciešamo finansējumu 2023.gadam Vides aizsardzības un reģionālās attīstības ministrija normatīvajos aktos noteiktajā kārtībā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un nepieciešamības gadījumā precizēt anotācijas 4. sadaļas "Tiesību akta projekta ietekme uz spēkā esošo tiesību normu sistēmu" 4.1. punkta "Saistītie tiesību aktu projekti" 4.1.2. apakšpunktā norādītā normatīvā akta nosaukumu un TAP ID numurā, kā arī 4.2.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24.07.2023.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24.07.2023.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Atzinumi_23-TA-1764.docx</dc:title>
</cp:coreProperties>
</file>

<file path=docProps/custom.xml><?xml version="1.0" encoding="utf-8"?>
<Properties xmlns="http://schemas.openxmlformats.org/officeDocument/2006/custom-properties" xmlns:vt="http://schemas.openxmlformats.org/officeDocument/2006/docPropsVTypes"/>
</file>