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2.3.1.specifiskā atbalsta mērķa “Veicināt ilgtspējīgu daudzveidu mobilitāti pilsētās” 2.3.1.4.pasākuma “Bezemisiju 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pieejamais kopējais attiecināmais finansējums ir 21 287 963 euro, tai skaitā Eiropas Reģionālās attīstības fonda finansējums - 18 094 768 euro un nacionālais finansējums – vismaz 3 193 195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finansējuma atspoguļošanai izmantot piemēru normu redakcijām par plānoto un pieejamo finansējumu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Specifiskā atbalsta mērķa plānotais un pieejamais kopējais finansējums ir XX euro, tai skaitā ERAF/ESF+/KF/TPF finansējums XX euro, valsts budžeta līdzfinansējums XX euro, pašvaldības līdzfinansējums XX euro un privātais līdzfinansējums XX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2029.gada 31.decembrim ir sasniedzams šāds iznākuma rādītājs - videi draudzīgā ritošā sastāva pasažieru ietilpība, ko izmanto kolektīvajā sabiedriskajā transportā, ir vismaz 360 pasažieri.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sasniedzamā iznākuma rādītāja nosaukumu atbilstoši Eiropas Savienības kohēzijas politikas programmai 2021.–2027. gadam un saskaņā Finanšu ministrijas vadlīniju "Vadlīnijas Ministru kabineta noteikumu par specifiskā atbalsta mērķa īstenošanu izstrādei Eiropas Savienības fondu 2021.—2027. gada plānošanas periodā" projekta 5.punktam, papildus attiecīgi arī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vienlaikus arī anotāciju ar izvērstāku un nepārprotamu skaidrojumu, kādas funkcijas un pienākumus izpildīs VSIA "Autotransporta direkcija" un kādas attiecīgi Satiksmes ministrija. Vienlaikus vēršam uzmanību, ka anotācijas 1.3. punkta "Risinājuma apraksts" desmitajā rindkopā ir noteikts, ka "Projekta iesniedzējs, kas pēc vienošanās noslēgšanas par projekta īstenošanu ir finansējuma saņēmējs, pasākuma ietvaros ir Satiksmes ministrija. Tās vārdā atbilstoši Ministru kabineta 2003.gada 29.aprīļa noteikumu Nr. 242 "Satiksmes ministrijas nolikums" 5.28.apakšpunktam un Satiksmes ministrijas deleģēšanas līgumam projektu īsteno valsts sabiedrība ar ierobežotu atbildību “Autotransporta direkcija” kas veiks Satiksmes ministrijas kā projekta iesniedzēja funkcijas." un "(8) Par Komercdarbības atbalsta regulējumu" priekšpēdējā rindkopā ir norādīts, ka "VSIA "Autotransporta direkcija" iegādājoties elektrovilcienus veic deleģēto funkciju un nodod tālāk  iegādātos elektrovilcienus pasažieru pārvadājumu pakalpojuma nodrošināšanai." Vienlaikus lūdzam precizēt noteikumu projekta 11. punktu atbilstoši anotācijā minētajam, t.i., norādot precīzu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jaunu pilsētas - piepilsētas elektrovilcienu (bateriju elektrovilcienu) rezerves daļu 5 gadu periodam un minimālā nepieciešamā specifisko rokas instrumentu un programmatūras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21.5.apakšpunktu finansējuma saņēmējam ir </w:t>
            </w:r>
            <w:r w:rsidR="00000000" w:rsidRPr="00000000" w:rsidDel="00000000">
              <w:rPr>
                <w:u w:val="single"/>
                <w:rtl w:val="0"/>
              </w:rPr>
              <w:t xml:space="preserve">jānodrošina projekta īstenošanā radīto vērtību uzturēšanu</w:t>
            </w:r>
            <w:r w:rsidR="00000000" w:rsidRPr="00000000" w:rsidDel="00000000">
              <w:rPr>
                <w:rtl w:val="0"/>
              </w:rPr>
              <w:t xml:space="preserve">, laikus plānojot uzturēšanas un periodiskus nodilušo konstrukciju atjaunošanas darbus un finansējumu šiem darbiem </w:t>
            </w:r>
            <w:r w:rsidR="00000000" w:rsidRPr="00000000" w:rsidDel="00000000">
              <w:rPr>
                <w:u w:val="single"/>
                <w:rtl w:val="0"/>
              </w:rPr>
              <w:t xml:space="preserve">turpmākos 20 gadus pēc noslēguma maksājuma veikšanas</w:t>
            </w:r>
            <w:r w:rsidR="00000000" w:rsidRPr="00000000" w:rsidDel="00000000">
              <w:rPr>
                <w:rtl w:val="0"/>
              </w:rPr>
              <w:t xml:space="preserve">. Savukārt atbilstoši noteikumu projekta 7.punktam radītājs ir sasniegts, kad ritošais sastāvs ir nodots ekspluatācijā. No minētā izriet, ka rādītāja sasniegšana ir saistīta ar noteikumu projekta 13.1.apakšpunktā minētā atbalstāmo darbību. Lūdzam papildināt anotāciju ar izvērstu pamatojumu noteikumu projekta 13.2.apakšpunktā minētai darbībai un izdevumu attiecināmības nepieciešamībai, tai skaitā, kas domāts ar 5 gadu periodu. Vēršam uzmanību, ka projekts uzskatāms par pabeigtu, kad ir sasniegts tā mērķis, nodrošināta projekta funkcionalitāte un sadarbības iestāde ir veikusi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vadības personāla atlīdzības izmaksas, kas radušās uz darba līguma vai uzņēmuma līguma pamata, tostarp piemaksas un nodokļi, ņemot vērā,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 Attiecīgais procents ir jāsaskaņo ar vadošo iestādi. Gadījumā, ja vienotās likmes piemērošana nav iespējama, lūdzam piemērot citu vienkāršoto izmaksu veidu, attiecīgi izstrādājot metodiku un saskaņojot to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piemērojot kādu no vienkāršoto izmaksu risinājumiem, noteikumu projekta 15.1.1. un 15.1.2 apakšpunkti ir svītrojami. Vienlaikus vēršam uzmanību, ka noteikumu projekta 15.1.1. apakšpunktā minētais attiecināmo izmaksu slieksnis ir virs 5 milj. EUR, nevis sākot ar 5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projekta iesniegumu pamatojošās dokumentācijas sagatavošanas izmaksas, tajā skaitā izmaksu un ieguvumu analīzes izstrādes izmaksas un tehniski ekonomiskā pamatojuma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10.2. apakšpunktu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MK noteikumos par SAM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precizēt MK noteikumu projekta 15.2.apakšpunktu.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apmērā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15.1.apakšpunktā minētajām uzņēmuma līguma izmaksām netiek aprēķināta šajā punktā norādītā netiešo izmaksu vienotā likme. Līdz ar to lūdzam izvērtēt un attiecīgi precizēt noteikumu projekta 15.1.apakšpunkta vai 16.punkta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izmaksas ir attiecināmas no 2022.gada 25.novembra, izņemot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15.5. apakšpunktā</w:t>
            </w:r>
            <w:r w:rsidR="00000000" w:rsidRPr="00000000" w:rsidDel="00000000">
              <w:rPr>
                <w:rtl w:val="0"/>
              </w:rPr>
              <w:t xml:space="preserve"> minētās izmaksas, kas ir attiecināmas, ja tās veiktas pēc 2021.gada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Ministru kabineta noteikumu par specifiskā atbalsta mērķa īstenošanu izstrādei Eiropas Savienības fondu 2021.-2027. gada plānošanas periodā" 22. punktam lūdzam papildināt protokollēmumu ar punktu, kas nosaka finanšu plūsmas pirms projekta apstiprināšanas nodrošināšanas nosacījumus, kā arī Satiksmes ministrijas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Eiropas Savienības fondiem nav attiecināmas izmaksas par pabeigtām darbībām, līdz ar to lūdzam izvērtēt un precizēt noteikumu projekta 19. punktu vai sniegt attiecīgo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apakšpunktu, nosakot, ka finansējuma saņēmējam ir pienākums parakstīt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21.punktu papildināt ar apakšpunktu, kas uzliek pienākumu finansējuma saņēmējam iegādātos aktīvus (visu projekta apjomu) nodot </w:t>
            </w:r>
            <w:r w:rsidR="00000000" w:rsidRPr="00000000" w:rsidDel="00000000">
              <w:rPr>
                <w:rtl w:val="0"/>
              </w:rPr>
              <w:t xml:space="preserve">pasažieru pārvadājumu pakalpojuma sniedzējam, kurš izvēlēts atbilstoši Eiropas Parlamenta un Padomes 2007.gada 23.oktobra regulas (EK) Nr.1370/2007 par sabiedriskā pasažieru transporta pakalpojumiem, izmantojot dzelzceļu un autoceļus, un ar ko atceļ Padomes regulu (EEK) Nr.1191/69 un Padomes regulu (EEK) Nr.1107/70 prasībām un ievērojot piemērojamā komercdarbības atbalsta regulējuma nosacījumus. Lai arī šobrīd nav skaidrs, kādā no procedūrām, kas paredzētas iepriekš minētājā regulā, pasažieru pārvadājumu pakalpojuma sniedzējs tiks izvēlēts, no noteikumu teksta jābūt skaidram, ka viss projekta apjoms tiks nodots, ievērojot komercdarbības atbalsta kontroles nosacījumus. Papildus lūdzam skatīt komentāru pie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finansējuma saņēmējam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noteikumos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 Ņemot vērā, ka projekta ietvaros obligāti jāīsteno vismaz 3 vispārīgas HP darbības un 3 specifiskas HP darbības, un MK noteikumos jāiekļauj sasniedzamais HP “Vienlīdzība, iekļaušana, nediskriminācija un pamattiesību ievērošana” rādītājs, lūdzam svītrot MK noteikumu projekta 21.2.apakšpunktā vārdus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būtu viennozīmīgi skaidri izprotami nosacījumi saistībā ar HP ievērošanu, lūdzam izvērtēt iespēju izteikt MK noteikumu projekta 21.2.apakšpunktu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21.2.ievēro principu "Vienlīdzība, iekļaušana, nediskriminācija un pamattiesību ievērošana" un uzkrāj datus par projekta ietekmi uz  horizontālo principu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MK noteikumu projekta 15.6.punktā izmaksas ir plānotas par specifiskām HP darbībām, lūdzam atbilstoši precizēt izmaksu nosaukumu, lai būtu nepārprotami skaidrs, kāda veida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informāciju, vai plānotajām investīcijām būs tieša, netieša, vai nebūs ietekmes uz HP “Vienlīdzība, iekļaušana, nediskriminācija un pamattiesību ievērošana”, “Klimatdrošināšana”,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tiesību akta nozīmi un pienesumu Latvijas kopējai izaugsmei un tautsaimniecības attīstībai,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w:t>
            </w:r>
            <w:r w:rsidR="00000000" w:rsidRPr="00000000" w:rsidDel="00000000">
              <w:rPr>
                <w:rtl w:val="0"/>
              </w:rPr>
              <w:t xml:space="preserve">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attiecībā uz elastības finansējumu ar informāciju par konkrētu SAM vai pasākumu, kura ietvaros tiks pārcelts šobrīd 2.3.1.4. pasākumam plānotais elastības finansējums, lai konkrētās prioritātes un fonda līmenī būtu iespējams nodrošināt programmā noteikto elastības finansējuma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rīcībā esošajai informācijai 2.3.1.4.pasākumam tiek plānots elastības finansējums, līdz ar to Ministru kabineta noteikumu projekta 4.punktā norādītais finansējums ir definējams kā plānotais, nevis pieejamais finansējums, un attiecīgi būtu jāprecizē arī noteikumu projekta 1.3.punktā norādītā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ietvaros tiek plānots elastības finansējums, MK noteikumos ir norādāms gan pasākumam plānotais, gan pieejamais finansējums, izmantojot piemēru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elastības finansējums 2.3.1.4.pasākuma ietvaros tomēr netiek plānots, lūdzam Finanšu ministrijai iesūtīt attiecīgu informāciju, kā arī papildināt anotāciju ar informāciju, kuram pasākumam tiks novirzīta 2.3.1.4.pasākumam plānotā elastības finansējuma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4.punktu, lūdzam MK noteikumu anotācijā ietvert arī informāciju par plānotā ES fonda finansējuma dalījumu pa intervences kategorijām, ievērojot programmas SAM līmenī noteiktos intervences kodus: intervences laukums, finansējuma veids, teritoriālie sasniegšanas mehānismi, ESF+ sekundārās tēmas, dzimumu līdztiesība.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ar informāciju, vai nav dubultfinansējuma risks ar saistītiem projektiem, ņemot vērā anotācijā minēto sinerģiju ar Atveseļošanas fonda investīciju 1.1.1.1.i., un darbības programmas “Izaugsme un nodarbinātība” 6.1.7.2.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w:t>
            </w:r>
            <w:r w:rsidR="00000000" w:rsidRPr="00000000" w:rsidDel="00000000">
              <w:rPr>
                <w:i w:val="1"/>
                <w:rtl w:val="0"/>
              </w:rPr>
              <w:t xml:space="preserve">Attiecīgi tiks rīkots atklāts iepirkums pasažieru pārvadājumu sniegšanai, kā rezultātā iepirkuma konkursā uzvarējušam subjektam, kurš veiks pasažieru pakalpojumu sabiedriskā transporta pakalpojumu pasūtījuma līguma ietvaros, kas noslēgts atbilstoši Regulai Nr.1370/2007, tiks nodoti </w:t>
            </w:r>
            <w:r w:rsidR="00000000" w:rsidRPr="00000000" w:rsidDel="00000000">
              <w:rPr>
                <w:i w:val="1"/>
                <w:u w:val="single"/>
                <w:rtl w:val="0"/>
              </w:rPr>
              <w:t xml:space="preserve">iegādātie aktīvi </w:t>
            </w:r>
            <w:r w:rsidR="00000000" w:rsidRPr="00000000" w:rsidDel="00000000">
              <w:rPr>
                <w:i w:val="1"/>
                <w:rtl w:val="0"/>
              </w:rPr>
              <w:t xml:space="preserve">atbilstoši piemērojamajam komercdarbības atbalsta regulējumam - Regulai Nr.1370/2007". </w:t>
            </w:r>
            <w:r w:rsidR="00000000" w:rsidRPr="00000000" w:rsidDel="00000000">
              <w:rPr>
                <w:rtl w:val="0"/>
              </w:rPr>
              <w:t xml:space="preserve">Lai nodrošinātu, ka VSIA “Autotransporta direkcija” tai deleģēto funkciju ietvaros darbojas tikai kā starpnieks un visu projekta apmēru (ne tikai attiecināmās, bet arī ar projektu saistītās neattiecināmās izmaksas, proti, visas izmaksas, kas normāli rastos pasažieru pārvadājumu pakalpojuma sniedzējam, ja projektu īstenotu un vilcienus iegādātos pats, taču šeit rodas ATD) nodod pasažieru pārvadājumu pakalpojuma sniedzējam, lūdzam precizēt anotāciju, jo "iegādātie aktīvi" var nenosegt visu projekta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VSIA “Autotransporta direkcija” iegādājoties elektrovilcienus (bateriju elektrovilcienus) veic deleģēto funkciju un nodod tālāk  iegādātos elektrovilcienus (bateriju elektrovilcienus) pasažieru pārvadājumu pakalpojuma nodrošināšanai, negūstot ekonomisko priekšrocību (tai netiek piešķirts komercdarbības atbalsts)".</w:t>
            </w:r>
            <w:r w:rsidR="00000000" w:rsidRPr="00000000" w:rsidDel="00000000">
              <w:rPr>
                <w:rtl w:val="0"/>
              </w:rPr>
              <w:t xml:space="preserve"> Attiecībā uz finansējuma saņēmēja (projekta iesniedzējs) līmeni - aicinām anotācijā precizēt informāciju, ka tā līmenī nav komercdarbības atbalsta, ka tas ir tikai </w:t>
            </w:r>
            <w:r w:rsidR="00000000" w:rsidRPr="00000000" w:rsidDel="00000000">
              <w:rPr>
                <w:u w:val="single"/>
                <w:rtl w:val="0"/>
              </w:rPr>
              <w:t xml:space="preserve">starpnieks</w:t>
            </w:r>
            <w:r w:rsidR="00000000" w:rsidRPr="00000000" w:rsidDel="00000000">
              <w:rPr>
                <w:rtl w:val="0"/>
              </w:rPr>
              <w:t xml:space="preserve">, kas nodod gala labumu (visu projekta apjomu) tālāk pasažieru pārvadājumu sniegšanai (tādējādi finansējuma saņēmēja līmenī netiek sniegta ekonomiskā priekšrocība). Vienlaikus vēršam uzmanību, ka atklāta iepirkuma pasažieru pārvadājumu sniegšanai dokumentācijā ir jābūt iekļautai informācijai, ka pasažieru pārvadājumu pakalpojuma sniedzējam tiks nodots viss projekta apjoms, tostarp, ritošais sastāvs utt., lai nodrošinātu, ka visiem pretendentiem par to ir informācija un ka kompensācijas apmērā tiks ietverts viss projekta apmērs, tostarp, aktīvi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sabiedriskā transporta izmantotāji.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projekts salāgotos ar Eiropas Savienības kohēzijas politikas programmā 2021.–2027. gadam norādīto galveno mērķgrupu, lūdzam precizēt noteikumu projekta 3. punktā norādīto informāciju, proti, pasākuma mērķa grupa ir </w:t>
            </w:r>
            <w:r w:rsidR="00000000" w:rsidRPr="00000000" w:rsidDel="00000000">
              <w:rPr>
                <w:rtl w:val="0"/>
              </w:rPr>
              <w:t xml:space="preserve">transporta infrastruktūras un sabiedriskā transporta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Eiropas Reģionālās attīstības fonda finansējuma apmērs ir 85%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ERAF finansējuma intensitāte ir 85 % no projektam plānotā kopējā attiecināmā finansējuma, nepārsniedzot izmaksu un ieguvumu analīzē aprēķināto finansējuma deficīta procentuālo apmēru, un nacionālais līdzfinansējums nav mazāks par 15 %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projektu iesniegumu atlases nolikumā noteiktajām prasībām. Projekta iesniegumu iesniedz Kohēzijas politikas fondu vadības informācijas sistēmā, pievienojot projektam veikto izmaksu un ieguvumu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12.punktu piedāvātajā redakcijā un pievienot jaunu 13.punktu, kurā ir iekļauta ne tikai prasība veikt izmaksu un ieguvumu analīzi, bet arī noteikt minimāli sasniedzamos projekta finanšu un ekonomiskos rādītājus, pretējā gadījumā izmaksu un ieguvumu analīzes veikšana pati par sevi negarantē, ka publiskās pārvaldes projekts dod pietiekamus sociālekonomiskos ieguvumus, lai projektu būtu vērts īstenot. Minimālā prasība ir, ka projekta ekonomiskā neto pašreizējā vērtība ir lielāka par nulli, kas nozīmē, ka projekta kopējās izmaksas visā projekta dzīves ciklā ir vienādas ar kopējiem projekta ieguvumiem. Vienlaicīgi aicinām izvērtēt, vai šo rādītāju nevajadzētu noteikt lielāku par nulli, ņemot vērā, ka potenciālo ekonomisko satricinājumu rezultātā projekta investīciju izmaksas un uzturēšanas izmaksas var būtiski pieaugt, kā rezultātā projekta ekonomiskā pašreizējā vērtība kļūst negatīva, projektam radot zaudējumus, nevis plānotos ieguvumus, ja izmaksu un ieguvumu analīzes rezultātā noteiktā projekta ekonomiskā neto pašreizējā vērtība ir vienāda 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precīzāk aprakstīt, ka 2.3.1.specifiskā atbalsta mērķa “Veicināt ilgtspējīgu daudzveidu mobilitāti pilsētās” 2.3.1.4.pasākuma “Bezemisiju vilcieni” projekta izmaksu un ieguvumu analīze ir daļa no 6.1.7.2. pasākuma ietvaros veiktās izmaksu un ieguvumu analīzes. Šobrīd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projektu iesniegumu atlases nolikumā noteiktajām prasībām. Projekta iesniegumu iesniedz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projekta informācijas un publicitātes pasākumu izmaksas atbilstoši normatīvajiem aktiem par kārtību, kādā Eiropas Savienības fondu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15.4.apakšpunktā vārdus "par kārtību, kādā Eiropas Savienības fondu ieviešanā 2021.-2027. gada plānošanas periodā nodrošināma komunikācijas un vizuālās identitātes prasību ievērošana" ar vārdiem un skaitļiem "un normatīvajiem aktiem, kas nosaka kārtību, kādā Eiropas Savienības fondu vadībā iesaistītās institūcijas nodrošina šo fondu ieviešanu 2021.–2027. gada plānošanas periodā". Attiecīgu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 punktu ar informāciju, norādot, par kādiem līdzekļiem tiks finansētas izmaksas, kas nav attiecināmas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nodrošina informācijas un publicitātes pasākumus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w:t>
            </w:r>
            <w:r w:rsidR="00000000" w:rsidRPr="00000000" w:rsidDel="00000000">
              <w:rPr>
                <w:rtl w:val="0"/>
              </w:rPr>
              <w:t xml:space="preserve">47. un 50.pantu</w:t>
            </w:r>
            <w:r w:rsidR="00000000" w:rsidRPr="00000000" w:rsidDel="00000000">
              <w:rPr>
                <w:rtl w:val="0"/>
              </w:rPr>
              <w:t xml:space="preserve">, un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15.6. un 21.6. apakšpunktu. Vienlaikus 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izstrādā iekšējās kontroles sistēmu, ietverot tajā informāciju par interešu konflikta, krāpšanas, korupcijas risku un dubultā finansējuma novēršanas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lai nodrošinātu, ka projekta īstenošanas laikā tiek ievēroti interešu konflikta, korupcijas un krāpšanas novēršanas nosacījumi, tiks izstrādāta kārtībā, kā pārliecinās par minēto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īstenošanas vieta ir Latvijas Republikas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21.10.apakšpunkts nosaka vispārīgu nosacījumu attiecībā uz pasākumu, lūdzam attiecīgo apakšpunktu izdalīt kā atsevišķu punktu, ietverot to noteikumu projekta 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pasākuma ietvaros ir plānotas darbības, par kurām ir izteiktas ES Padomes rekomendācijas Latvijai (sākot ar 2021.g. rekomendācijām). Gadījumā, ja ES Padomes rekomendācijas ir izteiktas, lūdzam papildināt anotāciju ar atsauci uz konkrēto rekomendāciju un norādīt, kā plānotie pasākumi ir vērsti uz rekomendācijas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par Satiksmes ministriju un valsts sabiedrība ar ierobežotu atbildību “Autotransporta direkcija”, kuriem tiek noteiktas finansējuma saņēmēja un projekta īstenotāja funkcijas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1.1. apakšpunktā un 6. punkta norādīto sadalījumu pa gadiem Eiropas Reģionālās attīstības fonda finansējumam, ņemot vērā noteikumu projekta 4.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 punktā "ES tiesību akta datums, izdevējinstitūcija, numurs, veids un nosaukums" un turpmākajā tekstā, kur attiecināms, pirms vārdiem un skaitļiem "2021. gada 24. jūnija" ar vārdiem "Eiropas Parlamenta un Padomes"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norādīt anotācijas 7.1. punktā "Projekta izpildē iesaistītās institūcijas" Satiksmes ministriju un Centrālo finanšu un līguma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23-TA-1501</w:t>
    </w:r>
    <w:r>
      <w:br/>
    </w:r>
    <w:r w:rsidR="00000000" w:rsidRPr="00000000" w:rsidDel="00000000">
      <w:rPr>
        <w:rtl w:val="0"/>
      </w:rPr>
      <w:t xml:space="preserve">Izdrukāts 31.07.2023. 22.48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23-TA-1501</w:t>
    </w:r>
    <w:r>
      <w:br/>
    </w:r>
    <w:r w:rsidR="00000000" w:rsidRPr="00000000" w:rsidDel="00000000">
      <w:rPr>
        <w:rtl w:val="0"/>
      </w:rPr>
      <w:t xml:space="preserve">Izdrukāts 31.07.2023. 22.48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Atzinumi_23-TA-1501.docx</dc:title>
</cp:coreProperties>
</file>

<file path=docProps/custom.xml><?xml version="1.0" encoding="utf-8"?>
<Properties xmlns="http://schemas.openxmlformats.org/officeDocument/2006/custom-properties" xmlns:vt="http://schemas.openxmlformats.org/officeDocument/2006/docPropsVTypes"/>
</file>