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(precizēt) noteikumu projekta anotācijā sniegto skaidrojumu par noteikumu projekta 18. punktā ietvertā grozījuma nepieciešamību un mērķi, nepieciešamības gadījumā precizējot šo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skaidrot minētā grozījuma atbilstību tiesiskās paļāvības principam, ievērojot klāt nākušo prasību par to, ka elektroauto jābūt lietotam mazāk par 6 mēnešiem, proti, kā minētais grozījums ietekmēs personas, kuras jau pieteikušās atbalstam elektroauto iegādei, tai skaitā, vai minētās personas ir informētas par iespējamo grozījumu un tās brīvprātīgi piekritušas šādam grozījumam. Nepieciešamības gadījumā lūdzam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lai gan anotācijā norādīts uz Altum prasību par reģistrāciju Latvijā, noteikumu Nr. 594 78. punktā attiecīgas prasības nav tiešā tekstā ietvertas, līdz ar to, lūdzam skaidrot, kā tieši noteikumu projekta 18. punktā paredzētās izmaiņas ietekmēs Altum praksi, vai precizēt minēto punktu, nodrošinot šī regulējuma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w:t>
            </w:r>
            <w:r w:rsidR="00000000" w:rsidRPr="00000000" w:rsidDel="00000000">
              <w:rPr>
                <w:vertAlign w:val="superscript"/>
                <w:rtl w:val="0"/>
              </w:rPr>
              <w:t xml:space="preserve">1</w:t>
            </w:r>
            <w:r w:rsidR="00000000" w:rsidRPr="00000000" w:rsidDel="00000000">
              <w:rPr>
                <w:rtl w:val="0"/>
              </w:rPr>
              <w:t xml:space="preserve"> šo noteikumu 27.4. un 27.5. apakšpunkts atbilstoši Komisijas regulas Nr.651/2014 1.panta 4.punkta un 2.panta 18.punkta nosacījumiem tiek piemērots uzņēmuma grupas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noteikumu projekta 5. punktu, jo Komisijas regulas Nr.651/2014 1.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panta 4. punkta un 2. panta 18. punktā pirmšķietami nav ietvertas norādes uz uzņēmuma grupas līmeņa piemērošanu, savukārt, ja attiecīgā prasība par uzņēmuma grupas līmeni izriet no minētajām regulas normām, noteikumu projekta 5. punktā nav nepieciešams to atkārtoti uzsvērt, jo atsauces uz abām minētajām regulas normām jau ir ietvertas noteikumu Nr. 594 27.4. un 27.5.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 noteikumu projekta 5. punktā tiek ieviestas minētās regulas prasības, lūdzam ar attiecīgu informāciju papildināt noteikumu projekta anotācijas 5. sadaļu. Līdzīgi lūdzam 5. sadaļā skaidrot arī Komisijas 2023. gada 13. decembra Regulas (ES) 2023/2831 par Līguma par Eiropas Savienības darbību 107. un 108. panta piemērošanu de minimis atbalstam prasību ieviešanu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6</w:t>
            </w:r>
            <w:r w:rsidR="00000000" w:rsidRPr="00000000" w:rsidDel="00000000">
              <w:rPr>
                <w:rtl w:val="0"/>
              </w:rPr>
              <w:t xml:space="preserve">2. iekārtu un saimnieciskās darbības nodrošinošos procesus nodrošinošo blakusprocesu iekārtu iegādes izmaksas, ja šīs iekārtas neaizstāj esošās iekārtas un saimnieciskās darbības procesus nodrošinošo blakusprocesu iekārtas, izņemot gadījumu, ja tiek veikts tāds skaidri nosakāms ieguldījums esošajās iekārtās, saimnieciskās darbības procesus nodrošinošo blakusprocesu iekārtās vai saimnieciskās darbības nodrošinošos procesos, kura vienīgais mērķis ir uzlabot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vai skaidrot noteikumu projekta anotācijā, ar ko saimnieciskās darbības nodrošinošos procesus nodrošinošie blakusprocesi atšķiras no saimnieciskās darbības procesus nodrošinošiem blakusprocesiem. Līdzīgi lūdzam precizēt noteikumu projekta 14. punktu un nepieciešamības gadījumā citas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6</w:t>
            </w:r>
            <w:r w:rsidR="00000000" w:rsidRPr="00000000" w:rsidDel="00000000">
              <w:rPr>
                <w:rtl w:val="0"/>
              </w:rPr>
              <w:t xml:space="preserve">2. iekārtu un saimnieciskās darbības procesus nodrošinošo blakusprocesu iekārtu iegādes izmaksas, ja šīs iekārtas neaizstāj esošās iekārtas un saimnieciskās darbības procesus nodrošinošo blakusprocesu iekārtas, izņemot gadījumu, ja tiek veikts tāds skaidri nosakāms ieguldījums esošajās iekārtās, saimnieciskās darbības procesus nodrošinošo blakusprocesu iekārtās vai saimnieciskās darbības nodrošinošos procesos, kura vienīgais mērķis ir uzlabot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19.07.2024.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19.07.2024.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Atzinumi_24-TA-1465.docx</dc:title>
</cp:coreProperties>
</file>

<file path=docProps/custom.xml><?xml version="1.0" encoding="utf-8"?>
<Properties xmlns="http://schemas.openxmlformats.org/officeDocument/2006/custom-properties" xmlns:vt="http://schemas.openxmlformats.org/officeDocument/2006/docPropsVTypes"/>
</file>