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likumā noteiktā autoceļa posma lietošanu, ja autoceļu lietošanas nodeva vai infrastruktūras nodeva nav samaksāta pilnā apmērā, piemēro naudas sodu transportlīdzekļa īpašniekam, turētājam vai pārvadātājam no trīsdesmit līdz piecdesmit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naudas sods par to, ka autoceļu lietošanas nodeva nav samaksāta pilnā apmērā,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likumā noteiktā autoceļa posma lietošanu, ja autoceļu lietošanas nodeva vai infrastruktūras nodeva nav samaksāta, piemēro naudas sodu transportlīdzekļa īpašniekam, turētājam vai pārvadātājam no piecdesmit līdz 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naudas sods par to, ka autoceļu lietošanas nodeva nav samaksāta,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ir infrastruktūras nodevas, kuru plānots ieviest no 2030.gada, aprēķināšanas principi, iespējamais apmērs, likmes, kā arī nodevas objekts (transportlīdzekļa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Autoceļu lietošanas nodevas administrēšanas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Ceļu satiksmes drošības direkciju rast risinājumu, nodrošinot lauksaimniecības produkcijas ražotāju un kooperatīvo sabiedrību informēšanu par iespēju saņemt atbrīvojumu no autoceļu lietošanas nodevas maksāšanas par laika posmu no kārtēja gada 10.jūlija līdz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